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https://www.autoritedelaconcurrence.fr/fr/decision-de-controle-des-concentrations/relative-la-prise-de-controle-exclusif-de-la-societe-pour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26-DCC-111 of May 11, 2026  </w:t>
        <w:br/>
        <w:t xml:space="preserve">regarding the exclusive control acquisition of the Company for the  </w:t>
        <w:br/>
        <w:t xml:space="preserve">co-financing of fiber networks in territories  </w:t>
        <w:br/>
        <w:t>by the company Orange</w:t>
      </w:r>
    </w:p>
    <w:p>
      <w:r>
        <w:t>The Competition Authority,</w:t>
      </w:r>
    </w:p>
    <w:p>
      <w:r>
        <w:t xml:space="preserve">Having regard to the complete notification file sent to the mergers department on April 20, 2026,  </w:t>
        <w:br/>
        <w:t xml:space="preserve">concerning the exclusive control acquisition of the Company for the co-financing of fiber networks  </w:t>
        <w:br/>
        <w:t xml:space="preserve">in territories by the company Orange, formalized by a unilateral promise of sale  </w:t>
        <w:br/>
        <w:t>dated March 28, 2022, and a letter of exercise of purchase option dated March 24, 2026;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by the company Orange, the parent company of the  </w:t>
        <w:br/>
        <w:t xml:space="preserve">Orange group, of exclusive control of the Company for the co-financing of fiber networks in  </w:t>
        <w:br/>
        <w:t xml:space="preserve">territories, active in the sector of co-financing fiber infrastructure in less dense areas. The operation constitutes a concentration within the meaning of Article L. 430-1 of the Commercial Code. Given the turnover achieved by the concerned companies,  </w:t>
        <w:br/>
        <w:t>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</w:r>
    </w:p>
    <w:p>
      <w:r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26-095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