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https://www.autoritedelaconcurrence.fr/fr/decision-de-controle-des-concentrations/relative-la-prise-de-controle-exclusif-de-la-societe-poweo</w:t>
      </w:r>
    </w:p>
    <w:p>
      <w:r>
        <w:t>Pages translated : 12</w:t>
      </w:r>
    </w:p>
    <w:p/>
    <w:p>
      <w:r>
        <w:rPr>
          <w:b/>
        </w:rPr>
        <w:t>[Pages 1–3]</w:t>
      </w:r>
    </w:p>
    <w:p>
      <w:r>
        <w:t xml:space="preserve">FRENCH REPUBLIC  </w:t>
        <w:br/>
        <w:t xml:space="preserve">Decision No. 11-DCC-142 of September 22, 2011  </w:t>
        <w:br/>
        <w:t xml:space="preserve">regarding the exclusive control of the company Poweo by the company  </w:t>
        <w:br/>
        <w:t xml:space="preserve">Direct Energie  </w:t>
        <w:br/>
        <w:t xml:space="preserve">The Competition Authority,  </w:t>
        <w:br/>
        <w:t xml:space="preserve">Having regard to the notification file submitted in full to the merger service on August 22, 2011,  </w:t>
        <w:br/>
        <w:t xml:space="preserve">regarding the exclusive control of the company Poweo by the company Direct Energie;  </w:t>
        <w:br/>
        <w:t xml:space="preserve">Having regard to Book IV of the Commercial Code relating to price freedom and competition, and  </w:t>
        <w:br/>
        <w:t xml:space="preserve">notably its Articles L. 430-1 to L. 430-7;  </w:t>
        <w:br/>
        <w:t xml:space="preserve">Adopts the following decision:  </w:t>
        <w:br/>
        <w:t xml:space="preserve">I. The companies concerned and the operation  </w:t>
        <w:br/>
        <w:t xml:space="preserve">1. The company Direct Energie SA (hereinafter "Direct Energie") is an operator in the energy sector active in the production, trading, and supply of electricity to residential and industrial customers, as well as in the trading and supply of gas to residential and industrial customers. Direct Energie is jointly controlled by the company François 1er Energie, which is ultimately controlled by Lov Group Invest SAS, and by the company Impala SAS, controlled by Mr. Jacques Veyrat.  </w:t>
        <w:br/>
        <w:t xml:space="preserve">2. The company Poweo SA (hereinafter "Poweo") is an operator in the energy sector active in France in the trading and supply of electricity to residential and industrial customers, as well as in the trading and supply of gas to residential and industrial customers. Poweo is controlled by Verbund, a historical electricity operator in Austria.  </w:t>
        <w:br/>
        <w:t xml:space="preserve">3. By virtue of a share transfer agreement dated July 22, 2011, Direct Energie will acquire Verbund's stake in Poweo, which is 46.01% of the capital and voting rights.  </w:t>
        <w:br/>
        <w:t xml:space="preserve">4. Following the operation, the shareholders of Poweo will therefore be Direct Energie (46.01%), the investment fund Ecofin (25%), the investment fund Luxempart (10%), and a floating shareholding (19%). Although Direct Energie will remain a minority shareholder in the company's capital, it will almost certainly be able to obtain the majority of votes at Poweo's general meetings and will, therefore, be in a position to appoint or dismiss any member of the board of directors. Indeed, the second-largest shareholder after Direct Energie holds only a 25% stake through three investment funds, while the third holds only a 10% stake, and the remaining shares are dispersed within a floating shareholding. Direct Energie will also be able to appoint or dismiss 4 of the 8 members of the board of directors, which makes its decisions by a simple majority of the votes of the members present, including strategic decisions, with its president having a casting vote in case of a tie. Direct Energie will therefore be able to exert a decisive influence on Poweo.  </w:t>
        <w:br/>
        <w:t xml:space="preserve">5. Insofar as it results in the exclusive control of Poweo by Direct Energie, the notified operation constitutes a concentration within the meaning of Article L. 430-1 of the Commercial Code. The companies concerned have achieved a consolidated worldwide turnover excluding taxes of more than 150 million euros in the last closed financial year (Direct Energie: 945.2 million euros for the 2010 financial year; Poweo: 696.3 million euros for the same financial year). Each of these companies has achieved a turnover in France exceeding 50 million euros (Direct Energie: 638.4 million euros for the 2010 financial year; Poweo: 696.3 million euros for the same financial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present operation leads to overlaps in activities in the electricity and gas sectors where Direct Energie and Poweo are both active. Poweo is also marginally active in the related sectors of trading carbon emission rights and thermal services.  </w:t>
        <w:br/>
        <w:t xml:space="preserve">7. Consistently, the European Commission has considered the electricity and gas markets to be distinct due to the absence of substitutability between these two products.  </w:t>
        <w:br/>
        <w:t xml:space="preserve">A. THE ELECTRICITY SECTOR  </w:t>
        <w:br/>
        <w:t xml:space="preserve">1. THE RELEVANT PRODUCT MARKETS  </w:t>
        <w:br/>
        <w:t xml:space="preserve">8. National and community competition authorities generally distinguish the following product markets, from upstream to downstream: (i) production and wholesale sale, (ii) trading, (iii) transport, (iv) distribution, and (v) retail supply of electricity. Given the activities of the parties to the operation, the relevant markets are the markets for the production and wholesale sale, trading, and supply of electricity.  </w:t>
        <w:br/>
        <w:t xml:space="preserve">a) The production and wholesale sale of electricity  </w:t>
        <w:br/>
        <w:t xml:space="preserve">9. The market for the production and wholesale sale of electricity includes, on the supply side, not only the electricity produced by power plants but also electricity imports into France via interconnections. Producers and importers sell electricity wholesale to operators supplying end consumers, to traders, or to large industrial customers.  </w:t>
        <w:br/>
        <w:t xml:space="preserve">b) The trading of electricity  </w:t>
        <w:br/>
        <w:t xml:space="preserve">10. The operation leads to overlaps in activity in the electricity trading market, which concerns the purchase and resale of electricity that is not necessarily intended for the end consumer. While retaining a single trading market, the parties consider, in line with European decision-making practice, a segmentation between physical trading and financial trading of electricity.  </w:t>
        <w:br/>
        <w:t xml:space="preserve">11. In this case, however, the question of the exact delineation of the trading market can be left open insofar as, regardless of the definitions of the market adopted, the conclusions of the competitive analysis will remain unchanged.  </w:t>
        <w:br/>
        <w:t xml:space="preserve">c) The retail supply of electricity  </w:t>
        <w:br/>
        <w:t>12. National and community competition authorities distinguish, within the retail supply of electricity, between (i) the retail supply of electricity to large industrial and commercial customers connected to the transmission network and (ii) the retail supply of electricity to small industrial, commercial, and residential customers connected to the distribution network. This delineation has been considered insofar as large industrial customers benefit from individualized offers based on their actual consumption, while customers connected to the distribution network are subject to a mass marketing approach and are assigned a tariff based on the typical profile of their consumption. These latter customers are said to be "profiled": their level of consumption is not measured "in real time."</w:t>
      </w:r>
    </w:p>
    <w:p>
      <w:r>
        <w:rPr>
          <w:b/>
        </w:rPr>
        <w:t>[Pages 4–6]</w:t>
      </w:r>
    </w:p>
    <w:p>
      <w:r>
        <w:t>(i.e., at half-hour intervals) like that of large industrial users, a theoretical typical profile is assigned to them based on their characteristics in terms of, in particular, professional activity and domestic equipment in order to be able to assess their electricity consumption in advance.</w:t>
      </w:r>
    </w:p>
    <w:p>
      <w:r>
        <w:t>13. The Commission and the Competition Authority have also considered distinguishing, within the "profiled" customers, between (i) small industrial and commercial customers and (ii) residential customers. Indeed, these two customer segments have distinct consumption profiles, and the supply to residential customers is subject to specific regulations resulting from public service obligations that do not apply to professional customers.</w:t>
      </w:r>
    </w:p>
    <w:p>
      <w:r>
        <w:t>14. Finally, the decision-making practice has considered defining narrower markets for the supply of electricity to customers who have subscribed to a supply on the free market. Thus, the Competition Authority noted that in France, there coexist market offers with freely set prices and offers at regulated tariffs, and that, moreover, subscribing to a supply on the free market does not allow a return to these regulated tariffs, except in exceptional cases, particularly for large industrial customers.</w:t>
      </w:r>
    </w:p>
    <w:p>
      <w:r>
        <w:t>15. The parties believe that this distinction has lost its relevance since the entry into force of Law No. 2010-1488 of December 7, 2010, on the new organization of the electricity market (the "NOME" law). They point out that the legislation allows small consumers (industrial, commercial, and residential customers subscribing to a power of less than 36 kVA) to return to regulated tariffs and that it regulates the same possibility for large consumers (industrial and commercial customers subscribing to a power of more than 36 kVA). According to them, it follows that there is no need to distinguish between customers who have exercised their eligibility and those who have not, at least for small consumers.</w:t>
      </w:r>
    </w:p>
    <w:p>
      <w:r>
        <w:t>16. The parties further emphasize that customers who have exercised their eligibility represent about 6% of the total electricity consumers. In this regard, it should be noted that only 5.4% of residential customers and 14.7% of non-residential customers have subscribed to market offers. In total, according to the Energy Regulatory Commission (the "CRE"), alternative suppliers represent 5.3% of the supply to residential sites and 7.6% of the supply to non-residential sites.</w:t>
      </w:r>
    </w:p>
    <w:p>
      <w:r>
        <w:t>17. In this case, the question of the exact delineation of the retail electricity supply markets can, however, be left open insofar as, regardless of the hypothesis adopted, the conclusions of the competitive analysis will remain unchanged.</w:t>
      </w:r>
    </w:p>
    <w:p>
      <w:r>
        <w:t>2. THE RELEVANT GEOGRAPHIC MARKET</w:t>
      </w:r>
    </w:p>
    <w:p>
      <w:r>
        <w:t>18. National and community competition authorities consider that electricity markets are of national dimension, notably due to the low level of interconnection between Member States and the diversity of regulatory systems in place.</w:t>
      </w:r>
    </w:p>
    <w:p>
      <w:r>
        <w:t>19. There is no need to challenge this delineation in the context of the present operation. The operation only leads to overlaps in activities in France.</w:t>
      </w:r>
    </w:p>
    <w:p>
      <w:r>
        <w:t>B. THE GAS SECTOR</w:t>
      </w:r>
    </w:p>
    <w:p>
      <w:r>
        <w:t>20. National and community competition authorities traditionally distinguish, from upstream to downstream, the following product markets: (i) exploration-export, (ii) transportation, (iii) storage, (iv) trading, and (v) supply of natural gas. Direct Energie and Poweo are both active in the gas trading and supply markets to end consumers.</w:t>
      </w:r>
    </w:p>
    <w:p>
      <w:r>
        <w:t>1. GAS TRADING</w:t>
      </w:r>
    </w:p>
    <w:p>
      <w:r>
        <w:t>a) Product market</w:t>
      </w:r>
    </w:p>
    <w:p>
      <w:r>
        <w:t>21. The parties indicate that gas trading can occur (i) through Powernext Gas, a French gas exchange, (ii) through buying or selling within a "hub," and (iii) mainly through over-the-counter trading, possibly through a broker.</w:t>
      </w:r>
    </w:p>
    <w:p>
      <w:r>
        <w:t>22. The European Commission has already had the opportunity to recognize the existence of a distinct market for gas trading. In France, exchanges in the wholesale markets are realized through deliveries and withdrawals of quantities of gas at one of the three Gas Exchange Points ("PEG"), which are virtual points linked to one of the three balancing zones (North, South, and South-West) where a shipper can transfer gas to another shipper. According to the European Commission, the PEGs constitute trading hubs.</w:t>
      </w:r>
    </w:p>
    <w:p>
      <w:r>
        <w:t>23. The parties consider that gas trading, in which they are both active, constitutes a single market. In this case, however, the question of the exact delineation of the gas trading market can be left open.</w:t>
      </w:r>
    </w:p>
    <w:p>
      <w:r>
        <w:t>b) Geographic market</w:t>
      </w:r>
    </w:p>
    <w:p>
      <w:r>
        <w:t>24. Regarding the geographic delineation of the gas trading markets, the European Commission noted that the competitive conditions of the Zeebrugge hub (Belgium) strongly converged with those of the National Balancing Point hub (United Kingdom) and that they therefore fell under the same market. However, it considered that the TTF hub (Title Transfer Facility, Netherlands) belonged to a different market. The European Commission, however, left the question of geographic delineation open.</w:t>
      </w:r>
    </w:p>
    <w:p>
      <w:r>
        <w:t>25. In this case, the parties note that the largest buyers and sellers of gas source from the Zeebrugge hub, as does Poweo. They therefore suggest that the gas trading market would include not only the French national territory but also the hubs from which French operators source or sell their surpluses. However, they present data on a geographic market of national dimension.</w:t>
      </w:r>
    </w:p>
    <w:p>
      <w:r>
        <w:t>26. The question of the exact delineation of the gas trading market can, however, be left open insofar as, regardless of the hypothesis adopted, the conclusions of the competitive analysis will remain unchanged.</w:t>
      </w:r>
    </w:p>
    <w:p>
      <w:r>
        <w:t>2. GAS SUPPLY</w:t>
      </w:r>
    </w:p>
    <w:p>
      <w:r>
        <w:t>a) Product market</w:t>
      </w:r>
    </w:p>
    <w:p>
      <w:r>
        <w:rPr>
          <w:b/>
        </w:rPr>
        <w:t>[Pages 7–9]</w:t>
      </w:r>
    </w:p>
    <w:p>
      <w:r>
        <w:t xml:space="preserve">Distinction according to customer profile  </w:t>
        <w:br/>
        <w:t xml:space="preserve">27. Within the gas supply activities, the decision-making practice initially distinguished (i) the supply of gas to large industrial customers, (ii) the supply of gas to small industrial and commercial customers, (iii) the supply of gas to electricity producers, (iv) the supply of gas to intermediary resellers (local distribution companies), and (v) the supply of gas to residential customers. The distinctions between these groups are based on the differences in their usage of gas, their consumption profiles and volumes, their connection to the transmission network, as well as the purchase price.  </w:t>
        <w:br/>
        <w:t xml:space="preserve">28. The European Commission left open the question of what threshold should be used to distinguish, in France, between the supply of gas to small industrial consumers and that to large industrial consumers, whether an annual consumption of 50 GWh or 5 GWh.  </w:t>
        <w:br/>
        <w:t xml:space="preserve">29. In this case, the parties supply gas to residential customers, large industrial and commercial customers, as well as small industrial and commercial customers.  </w:t>
        <w:br/>
        <w:t xml:space="preserve">Distinction according to the type of gas distributed  </w:t>
        <w:br/>
        <w:t xml:space="preserve">30. The European Commission also established a distinction between the supply of low calorific value gas (referred to as "gas B" or "gas L") and the supply of high calorific value gas (referred to as "gas H"). It noted that these products "do not have the same characteristics and properties, and that certain manufacturing processes, particularly in the chemical industry, require the use of gas H. Installations adjusted for gas L cannot be supplied with gas H, and vice versa, without prior and costly modifications to the combustion devices. Furthermore, regarding customers connected to the distribution network, the decision to switch from one type of gas to another does not rest with the end customers, as it would require their distribution network manager to decide to supply the entire network with the new type of gas. At the level of substitutability, it has been indicated that the investments necessary for the conversion of gas H to gas L (and vice versa) as well as those for the modification of end customers' installations would be significant, which would greatly reduce the substitutability of both supply and demand."  </w:t>
        <w:br/>
        <w:t xml:space="preserve">31. In this case, the parties supply both gas H and gas B.  </w:t>
        <w:br/>
        <w:t xml:space="preserve">Distinction according to the exercise of eligibility by the customer  </w:t>
        <w:br/>
        <w:t xml:space="preserve">32. Finally, competition authorities have considered defining narrower markets for the supply of gas to customers who have subscribed to a supply on the free market. Thus, the European Commission noted that customers who have exercised their eligibility by switching from regulated tariffs to free tariffs could only return to regulated tariffs under certain conditions. As a result, there would be an asymmetry of competitive constraint between the supply of gas at regulated tariffs and the supply of gas at free tariffs, with substitutability between the two segments only occurring in one direction. The European Commission concluded that the relevant markets were the markets for the supply of gas to customers who had exercised their eligibility.  </w:t>
        <w:br/>
        <w:t xml:space="preserve">33. In this case, the parties believe that this segmentation has lost its relevance due to the possibility for small gas consumers (i.e., those with an annual consumption of less than 30,000 kWh) to return to regulated tariffs. However, it should be noted that this possibility is more restricted for large consumers.  </w:t>
        <w:br/>
        <w:t xml:space="preserve">34. The question of the exact delineation of the gas supply markets can, however, be left open insofar as, regardless of the hypothesis adopted, the conclusions of the competitive analysis will remain unchanged.  </w:t>
        <w:br/>
        <w:t xml:space="preserve">b) Geographic market  </w:t>
        <w:br/>
        <w:t xml:space="preserve">35. Regarding the geographic delineation of the gas supply markets, the European Commission considered that these markets were of sub-national dimension. It thus identified several markets corresponding to balancing zones, for which competitive conditions differ significantly. Previously numbering five, there are now only three since January 1, 2009: North, South, and South-West, which the parties have identified as the relevant geographic markets.  </w:t>
        <w:br/>
        <w:t xml:space="preserve">36. The question of the exact delineation of the gas supply markets can, however, be left open insofar as, regardless of the hypothesis adopted, the conclusions of the competitive analysis will remain unchanged.  </w:t>
        <w:br/>
        <w:t xml:space="preserve">III. Competitive analysis  </w:t>
        <w:br/>
        <w:t xml:space="preserve">37. The parties are active, from upstream to downstream, in the markets for the production, trading, and supply of electricity, as well as in the markets for the trading and supply of gas. It is therefore necessary to analyze the horizontal, vertical, and conglomerate effects of the operation.  </w:t>
        <w:br/>
        <w:t xml:space="preserve">A. HORIZONTAL EFFECTS OF THE OPERATION  </w:t>
        <w:br/>
        <w:t xml:space="preserve">1. THE ELECTRICITY SECTOR  </w:t>
        <w:br/>
        <w:t xml:space="preserve">a) The production and wholesale sale of electricity  </w:t>
        <w:br/>
        <w:t xml:space="preserve">38. Direct Energie has been producing electricity since its acquisition, in 2011, of wind farms. Impala SAS also produces electricity through its subsidiary Neoen, which is active in renewable energy production. Poweo, on the other hand, sold all of its production activities to Verbund in February 2011. However, it remains marginally present in the wholesale electricity production and sale market through two contracts concluded with EDF, concerning the exchange of production capacities.  </w:t>
        <w:br/>
        <w:t xml:space="preserve">39. Therefore, only the notifying party is tangibly present in the wholesale electricity production and sale market, through Direct Energie and Neoen. Their market share is estimated to be less than 1%. Poweo's activity is marginal.  </w:t>
        <w:br/>
        <w:t xml:space="preserve">40. The operation is therefore not likely to harm competition in the wholesale electricity production and sale market.  </w:t>
        <w:br/>
        <w:t xml:space="preserve">b) Electricity trading  </w:t>
        <w:br/>
        <w:t xml:space="preserve">41. Both parties are active in the electricity trading market. Thus, in a market estimated by the parties at 677 TWh in 2010, Direct Energie has a market share of 0.6% and Poweo of 0.7%. Following the operation, they will hold a combined market share of approximately 1.3%. In a potential segment of physical electricity trading, the parties estimate that their combined market share could not exceed 2.3%.  </w:t>
        <w:br/>
        <w:t xml:space="preserve">42. The parties further specify that they will continue to face competition from major players in the sector, such as EDF Trading, Compagnie Nationale du Rhône (a subsidiary of GDF Suez), and Société Nationale d’Électricité et de Thermique (a subsidiary of E.ON).  </w:t>
        <w:br/>
        <w:t xml:space="preserve">43. Consequently, the operation is not likely to harm competition in the electricity trading market.  </w:t>
        <w:br/>
        <w:t xml:space="preserve">c) RETAIL SUPPLY OF ELECTRICITY  </w:t>
        <w:br/>
        <w:t xml:space="preserve">44. In the retail electricity supply market, in which they both supply large industrial and commercial customers as well as small industrial, commercial, and residential customers, the parties present their market shares both in terms of the number of affected sites and in TWh supplied, as shown in the table below.  </w:t>
        <w:br/>
        <w:t>45. In a segment of "large industrial" consumers, estimated at 462,000 customers or 249 TWh, the parties hold combined market shares of less than [0-5]%. In the segment of "small industrial, commercial, and residential" consumers, estimated at 34.7 million consumers or 188 TWh, the parties hold market shares of less than [0-5]%.</w:t>
      </w:r>
    </w:p>
    <w:p>
      <w:r>
        <w:rPr>
          <w:b/>
        </w:rPr>
        <w:t>[Pages 10–12]</w:t>
      </w:r>
    </w:p>
    <w:p>
      <w:r>
        <w:t>Market shares of the parties in the electricity supply market</w:t>
        <w:br/>
        <w:t>Consumers "small industrial,</w:t>
        <w:br/>
        <w:t>Consumers "large industrial"</w:t>
        <w:br/>
        <w:t>commercial and residential"</w:t>
        <w:br/>
        <w:t>Supply In number of In number of</w:t>
        <w:br/>
        <w:t>In TWh In TWh</w:t>
        <w:br/>
        <w:t>of electricity clients clients</w:t>
        <w:br/>
        <w:t>– 2010</w:t>
        <w:br/>
        <w:t>Number</w:t>
        <w:br/>
        <w:t>Number</w:t>
        <w:br/>
        <w:t>of % TWh % % TWh %</w:t>
        <w:br/>
        <w:t>of clients</w:t>
        <w:br/>
        <w:t>clients</w:t>
        <w:br/>
        <w:t>Direct</w:t>
        <w:br/>
        <w:t>[…] [0-5] % […] [0-5] % […] [0-5] % […] [0-5] %</w:t>
        <w:br/>
        <w:t>Energie</w:t>
        <w:br/>
        <w:t>Poweo […] [0-5] % […] [0-5] % […] [0-5] % […] [0-5] %</w:t>
        <w:br/>
        <w:t>Total</w:t>
        <w:br/>
        <w:t>[…] [0-5] % […] [0-5] % […] [0-5] % […] [0-5] %</w:t>
        <w:br/>
        <w:t>parties</w:t>
        <w:br/>
        <w:t>Total market 462,000 100 % 249 100 % 34,700,000 100 % 188 100 %</w:t>
        <w:br/>
        <w:t>46. Furthermore, the parties face competition from other alternative suppliers, some of which belong to global groups, such as E.ON Energie, Endesa Energia, Enel France, GDF Suez, or the historical operator, EDF34.</w:t>
        <w:br/>
        <w:t>47. Consequently, given the low market shares of the parties, the operation is not likely to harm competition in the retail electricity supply markets.</w:t>
        <w:br/>
        <w:t>2. THE GAS SECTOR</w:t>
        <w:br/>
        <w:t>a) Gas trading</w:t>
        <w:br/>
        <w:t>48. Both parties are active in the gas trading market. Thus, in a market estimated by the parties at 332 TWh in 2010, Direct Energie has a market share of 0.2% and Poweo 4.8%. Following the operation, they will hold a combined market share of approximately 5%.</w:t>
        <w:br/>
        <w:t>49. Consequently, the operation is not likely to harm competition in the gas trading market.</w:t>
        <w:br/>
        <w:t>b) Gas supply</w:t>
        <w:br/>
        <w:t>50. Both parties are active in the gas supply market. Thus, they both supply gas B and H to residential customers, to large industrial and commercial customers, as well as to small industrial and commercial customers, in the three balancing zones for gas H and only in the northern zone for gas B.</w:t>
        <w:br/>
        <w:t>51. The parties have calculated their market shares in each of the relevant segments, as reproduced in the table below. It appears that they consistently have market shares below [0-5]%, regardless of the segment considered.</w:t>
        <w:br/>
        <w:t>Market shares of the parties in the gas supply market</w:t>
        <w:br/>
        <w:t>Market</w:t>
        <w:br/>
        <w:t>Direct Energie Poweo Total parties</w:t>
        <w:br/>
        <w:t>Gas supply - 2010 total</w:t>
        <w:br/>
        <w:t>TWh TWh % TWh % TWh %</w:t>
        <w:br/>
        <w:t>Residential customers 14.4 […] [0-5] % […] [0-5] % […] [0-5] %</w:t>
        <w:br/>
        <w:t>B Small industrial and</w:t>
        <w:br/>
        <w:t>commercial customers 21.1 […] [0-5] % […] [0-5] % […] [0-5] %</w:t>
        <w:br/>
        <w:t>G Large industrial and</w:t>
        <w:br/>
        <w:t>commercial customers 17.2 […] [0-5] % […] [0-5] % […] [0-5] %</w:t>
        <w:br/>
        <w:t>Residential customers 73.8 […] [0-5] % […] [0-5] % […] [0-5] %</w:t>
        <w:br/>
        <w:t>H Small industrial and</w:t>
        <w:br/>
        <w:t>commercial customers 108.3 […] [0-5] % […] [0-5] % […] [0-5] %</w:t>
        <w:br/>
        <w:t>G Large industrial and</w:t>
        <w:br/>
        <w:t>88.1 […] [0-5] % […] [0-5] % […] [0-5] %</w:t>
        <w:br/>
        <w:t>commercial customers</w:t>
        <w:br/>
        <w:t>Residential customers 40.4 […] [0-5] % […] [0-5] % […] [0-5] %</w:t>
        <w:br/>
        <w:t>H Small industrial and</w:t>
        <w:br/>
        <w:t>59.4 […] [0-5] % […] [0-5] % […] [0-5] %</w:t>
        <w:br/>
        <w:t>commercial customers</w:t>
        <w:br/>
        <w:t>Z 82.6 […] [0-5] % […] [0-5] % […] [0-5] %</w:t>
        <w:br/>
        <w:t>Residential customers 10.4 […] [0-5] % […] [0-5] % […] [0-5] %</w:t>
        <w:br/>
        <w:t>H Small industrial and</w:t>
        <w:br/>
        <w:t>15.2 […] [0-5] % […] [0-5] % […] [0-5] %</w:t>
        <w:br/>
        <w:t>commercial customers</w:t>
        <w:br/>
        <w:t>G Large industrial and</w:t>
        <w:br/>
        <w:t>12.4 […] [0-5] % […] [0-5] % […] [0-5] %</w:t>
        <w:br/>
        <w:t>commercial customers</w:t>
        <w:br/>
        <w:t>52. Furthermore, in any potential segments of customers who have exercised their eligibility, the parties will also hold market shares consistently below [0-5]%, with the exception of the segments supplying residential customers with gas H in the North and South zones and gas B in the South zone, as well as the segment supplying gas H to industrial and commercial customers in the South-West zone: in these segments, the parties will hold larger market shares, but still below 15%.</w:t>
        <w:br/>
        <w:t>53. Finally, the parties face competition in the gas supply market from other alternative suppliers, some of which belong to global groups, such as E.ON Energie, EDF, Endesa, ENI S.p.A branch France, or the historical operator GDF Suez35.</w:t>
        <w:br/>
        <w:t>54. Consequently, the operation is not likely to harm competition in the gas supply market.</w:t>
        <w:br/>
        <w:t>35 See: CRE, Observatory of Electricity and Gas Markets; or http://www.energie-info.fr.</w:t>
        <w:br/>
        <w:t>B. NON-HORIZONTAL EFFECTS OF THE OPERATION</w:t>
        <w:br/>
        <w:t>55. Given the weak position of Poweo and Direct Energie in all markets, the operation is not likely to substantially alter the competitive structure of the markets through vertical links between the markets of production, trading, and electricity supply, or between those of trading and gas supply. For the same reasons, the risks of harming competition through the effect of connectivity between the electricity and gas supply markets can be ruled out.</w:t>
        <w:br/>
        <w:t>DECIDES</w:t>
        <w:br/>
        <w:t>Sole Article: The operation notified under number 11-0153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