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https://www.autoritedelaconcurrence.fr/fr/decision-de-controle-des-concentrations/relative-la-prise-de-controle-exclusif-de-la-societe-puil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14-DCC-119 of August 14, 2014  </w:t>
        <w:br/>
        <w:t xml:space="preserve">regarding the exclusive control acquisition of the company Puil by the company  </w:t>
        <w:br/>
        <w:t xml:space="preserve">ITM Alimentaire Ouest  </w:t>
        <w:br/>
        <w:t xml:space="preserve">The Competition Authority,  </w:t>
        <w:br/>
        <w:t xml:space="preserve">Having regard to the notification file sent to the mergers department on July 25, 2014, and declared  </w:t>
        <w:br/>
        <w:t xml:space="preserve">complete on August 5, 2014, concerning the exclusive control acquisition of the company Puil by the company  </w:t>
        <w:br/>
        <w:t xml:space="preserve">ITM Alimentaire Ouest, materialized by a unilateral purchase promise dated  </w:t>
        <w:br/>
        <w:t xml:space="preserve">January 29, 2008, and an option exercise letter dated February 3,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Puil, operating a  </w:t>
        <w:br/>
        <w:t xml:space="preserve">food-dominant retail outlet under the Intermarché brand in the city of Octeville  </w:t>
        <w:br/>
        <w:t xml:space="preserve">(50), by the company ITM Alimentaire Ouest. It constitutes a concentration operation within  </w:t>
        <w:br/>
        <w:t xml:space="preserve">the meaning of Article L. 430-1 of the Commercial Code. Given the turnover achieved  </w:t>
        <w:br/>
        <w:t xml:space="preserve">by the concerned companies, the operation does not have a community dimension. However, the  </w:t>
        <w:br/>
        <w:t xml:space="preserve">control thresholds related to retail trade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14-134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