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https://www.autoritedelaconcurrence.fr/fr/decision-de-controle-des-concentrations/relative-la-prise-de-controle-exclusif-de-la-societe-qcns</w:t>
      </w:r>
    </w:p>
    <w:p>
      <w:r>
        <w:t>Pages translated : 5</w:t>
      </w:r>
    </w:p>
    <w:p/>
    <w:p>
      <w:r>
        <w:rPr>
          <w:b/>
        </w:rPr>
        <w:t>[Pages 1–3]</w:t>
      </w:r>
    </w:p>
    <w:p>
      <w:r>
        <w:t xml:space="preserve">FRENCH REPUBLIC  </w:t>
        <w:br/>
        <w:t xml:space="preserve">Decision No. 17-DCC-97 of June 27, 2017  </w:t>
        <w:br/>
        <w:t>regarding the exclusive control of QCNS Cruise Europe SA by Montefiore Investment SAS</w:t>
      </w:r>
    </w:p>
    <w:p>
      <w:r>
        <w:t xml:space="preserve">The Competition Authority,  </w:t>
        <w:br/>
        <w:t xml:space="preserve">Having regard to the notification file submitted in full to the merger service on May 23, 2017, regarding the exclusive control of QCNS Cruise Europe SA by Montefiore Investment SAS, formalized by a transfer agreement dated May 17,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Montefiore Investment SAS (hereinafter, "Montefiore") is a simplified joint-stock company under French law controlled by [confidential]. Montefiore manages professional private equity funds including [confidential]. Montefiore is active in the present economy1 and notably controls the company Mister Fly2, which is active in the tourism sector.  </w:t>
        <w:br/>
        <w:t xml:space="preserve">2. QCNS Cruise Europe SA (hereinafter, "QCNS") is a company under Luxembourg law, at the head of the QCNS group which is active in the distance selling of holidays and cruises.  </w:t>
        <w:br/>
        <w:t xml:space="preserve">3. The operation, formalized by a transfer agreement dated May 17, 2017, provides for the transfer of all financial securities issued by QCNS to a Luxembourg holding company, Cruise and Travel SA. The latter is to be held 75% by [confidential] and 25% by the management of QCNS.  </w:t>
        <w:br/>
        <w:t xml:space="preserve">1 INSEE defines present activities as "activities implemented locally for the production of goods and services aimed at satisfying the needs of persons present in the area, whether they are residents or tourists."  </w:t>
        <w:br/>
        <w:t>2 Montefiore holds a controlling stake in Mister Fly through the fund FPCI Montefiore Investment III.</w:t>
      </w:r>
    </w:p>
    <w:p>
      <w:r>
        <w:t xml:space="preserve">4. In that it results in the exclusive control of QCNS Cruise Europe SA by Montefiore Investment SAS, the notified operation constitutes a concentration operation, within the meaning of Article L. 430-1 of the Commercial Code.  </w:t>
        <w:br/>
        <w:t>5. The companies concerned together achieve a total worldwide turnover excluding taxes of more than 150 million euros (Montefiore: [...] euros for the fiscal year ending December 31, 2016; QCNS: [...] euros for the same fiscal year). Each of these companies has achieved a turnover in France exceeding 50 million euros (Montefiore: [...] euros for the fiscal year ending December 31, 2016; QCNS: [...] euros for the same fiscal year).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6. QCNS and Montefiore, via Mister Fly, are active in the tourism sector. Mister Fly and QCNS sell leisure travel services to individuals. Furthermore, Mister Fly offers booking services for overnight stays and flights to travel agencies, via a website dedicated to professionals.</w:t>
      </w:r>
    </w:p>
    <w:p>
      <w:r>
        <w:t xml:space="preserve">A. RESERVATION SYSTEMS SECTOR  </w:t>
        <w:br/>
        <w:t xml:space="preserve">1. SERVICE MARKETS  </w:t>
        <w:br/>
        <w:t xml:space="preserve">7. The European Commission has identified a market for computer reservation systems aimed at travel agencies (hereinafter, "GDS" - Global Distribution Systems). GDS are defined as intermediaries in two-sided markets where the supply addresses, upstream, travel service providers (airlines, for example) and, downstream, travel agencies3.  </w:t>
        <w:br/>
        <w:t xml:space="preserve">8. The inclusion of travel service provider websites in this market has also been considered4.  </w:t>
        <w:br/>
        <w:t xml:space="preserve">9. In this case, the question of the exact delineation of service markets can be left open, insofar as, regardless of the segmentation adopted, the conclusions of the competitive analysis remain unchanged.  </w:t>
        <w:br/>
        <w:t xml:space="preserve">3 See the European Commission decisions M.2197 Hilton/Accor/Forte/Travel Services JV of February 16, 2001, M.2794 Amadeus/GGL/JV of May 21, 2002, M.4523 Travelport/Worldspan of August 21, 2007, and M.7802 Amadeus/Navitaire of January 19, 2016.  </w:t>
        <w:br/>
        <w:t>4 See the aforementioned decision M.7802.</w:t>
      </w:r>
    </w:p>
    <w:p>
      <w:r>
        <w:t xml:space="preserve">2. GEOGRAPHIC MARKETS  </w:t>
        <w:br/>
        <w:t xml:space="preserve">10. The European Commission has considered a global dimension for the upstream market (airlines), but has not excluded that the downstream market (travel agencies) may be of a national dimension5.  </w:t>
        <w:br/>
        <w:t>11. In this case, the question of the exact delineation of geographic markets can be left open, insofar as, regardless of the segmentation adopted, the conclusions of the competitive analysis remain unchanged.</w:t>
      </w:r>
    </w:p>
    <w:p>
      <w:r>
        <w:t xml:space="preserve">B. TRAVEL AGENCY SERVICES SECTOR  </w:t>
        <w:br/>
        <w:t xml:space="preserve">1. SERVICE MARKETS  </w:t>
        <w:br/>
        <w:t xml:space="preserve">12. The consistent practice of competition authorities considers that the travel agency services sector should be segmented between leisure travel and business travel6.  </w:t>
        <w:br/>
        <w:t xml:space="preserve">13. A segmentation based on the distribution channel of travel agency services (online or through physical agencies) has also been considered7.  </w:t>
        <w:br/>
        <w:t xml:space="preserve">14. Within the market for leisure travel distributed by travel agencies, the market for package travel (including transportation) constitutes a distinct market8. The European Commission has considered that recent developments in the sector, notably the growth of dynamic packages, that is to say, the composition at the time of the customer's need formulation of a travel offer including transportation, could limit the relevance of a distinct market for package travel. However, it has left this question open9.  </w:t>
        <w:br/>
        <w:t xml:space="preserve">15. Symmetrically, it has defined the sale of travel services excluding package travel10. Within this market, it has considered distinguishing specific markets for the sale of flights, on the one hand, and overnight stays, on the other11.  </w:t>
        <w:br/>
        <w:t xml:space="preserve">16. Two additional sub-segmentations have been considered for package travel, the sale of hotel nights and flights: (i) a segmentation based on the domestic or international nature of the destination and (ii) within international destinations, a sub-segmentation between nearby and distant foreign destinations (accessible by more than six hours of flight)12.  </w:t>
        <w:br/>
        <w:t xml:space="preserve">5 See the decisions M.2197, M.2794, M.4523, and M.7802 mentioned above.  </w:t>
        <w:br/>
        <w:t xml:space="preserve">6 See the European Commission decisions M.334 Costa Crociere/Chargeurs/Accor of July 19, 1993, M.6163 Axa/Permira/Opodo/Go Voyages/Edreams of May 30, 2011, M.7238 American Express Company/Qatar Holding/GBT of June 20, 2014, M.7358 Dnata/Stella of October 9, 2014, and M.8046 TUI/Transat France of October 20, 2016, the decisions of the Competition Authority No. 15-DCC-183 of December 24, 2015, regarding the exclusive control of CWT Distribution by Marietton Développement, No. 16-DCC-35 of March 16, 2016, regarding the exclusive control of assets of the FRAM group by LBO France Gestion, and No. 16-DCC-166 of October 31, 2016, regarding the exclusive control of Bazarchic by UPLIC (Galeries Lafayette group), and the letter from the Minister of Economy, Finance and Industry C2008-110 of November 12, 2008, regarding a concentration in the online travel sales sector.  </w:t>
        <w:br/>
        <w:t xml:space="preserve">7 See the decisions M.6163, M.7358, M.8046, No. 16-DCC-35, and No. 16-DCC-166 mentioned above.  </w:t>
        <w:br/>
        <w:t xml:space="preserve">8 See the decisions M.6163, M.7238, M.7358, M.8046, and No. 15-DCC-183 mentioned above.  </w:t>
        <w:br/>
        <w:t xml:space="preserve">9 See the aforementioned decision M.8046.  </w:t>
        <w:br/>
        <w:t xml:space="preserve">10 See the European Commission decisions M.5462 Thomas Cook Group/Gold Medal International of March 30, 2009, and the decisions M.6163, M.8046, No. 16-DCC-35, and No. 16-DCC-166 mentioned above.  </w:t>
        <w:br/>
        <w:t xml:space="preserve">11 See the decisions M.6163 and M.8046 mentioned above.  </w:t>
        <w:br/>
        <w:t>12 See the decisions M.5462, M.8046, No. 16-DCC-35, and No. 16-DCC-166 mentioned above.</w:t>
      </w:r>
    </w:p>
    <w:p>
      <w:r>
        <w:rPr>
          <w:b/>
        </w:rPr>
        <w:t>[Pages 4–5]</w:t>
      </w:r>
    </w:p>
    <w:p>
      <w:r>
        <w:t>17. Furthermore, the European Commission has also identified a specific market for ocean cruises13.</w:t>
      </w:r>
    </w:p>
    <w:p>
      <w:r>
        <w:t>18. In the present case, QCNS distributes package tours designed by tour operators, dynamic packages, and cruises including ocean cruises without transportation. Mister Fly offers dynamic packages, within the framework of its partnership with the company Vente Privée, as well as individual flights and hotel nights.</w:t>
      </w:r>
    </w:p>
    <w:p>
      <w:r>
        <w:t>2. GEOGRAPHIC MARKETS</w:t>
      </w:r>
    </w:p>
    <w:p>
      <w:r>
        <w:t>19. Competition authorities generally consider that travel agency services are of a national dimension, notably due to linguistic and cultural barriers, with the question of a regional or local dimension having been left open14.</w:t>
      </w:r>
    </w:p>
    <w:p>
      <w:r>
        <w:t>20. In this case, the parties being exclusively active online, the analysis will be conducted at the national level.</w:t>
      </w:r>
    </w:p>
    <w:p>
      <w:r>
        <w:t>III. Competitive Analysis</w:t>
      </w:r>
    </w:p>
    <w:p>
      <w:r>
        <w:t>1. ANALYSIS OF HORIZONTAL EFFECTS</w:t>
      </w:r>
    </w:p>
    <w:p>
      <w:r>
        <w:t>21. In the segment of online leisure travel agency services, the cumulative position of the parties is below [5-10] %.</w:t>
      </w:r>
    </w:p>
    <w:p>
      <w:r>
        <w:t>22. They are also concurrently active in the sale of overnight stays and flights outside of package tours, notably within the framework of dynamic packages. However, regardless of the segmentations adopted, their cumulative market share is below [0-5] %.</w:t>
      </w:r>
    </w:p>
    <w:p>
      <w:r>
        <w:t>23. Therefore, the notified operation is not likely to harm competition, through horizontal effects, in these markets.</w:t>
      </w:r>
    </w:p>
    <w:p>
      <w:r>
        <w:t>2. ANALYSIS OF NON-HORIZONTAL EFFECTS</w:t>
      </w:r>
    </w:p>
    <w:p>
      <w:r>
        <w:t>24.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r>
    </w:p>
    <w:p>
      <w:r>
        <w:t>25. Furthermore, a concentration may lead to conglomerate effects when the new entity extends or strengthens its presence in markets that are related to other markets in which it holds market power.</w:t>
      </w:r>
    </w:p>
    <w:p>
      <w:r>
        <w:t>13 See the European Commission decisions M.2706 Carnival Corporation/P&amp;0 Princess of July 24, 2002 and M.334 cited above.</w:t>
      </w:r>
    </w:p>
    <w:p>
      <w:r>
        <w:t>14 See the decisions M.7358, M.7238, and M.6163 and the letter C2008-110 cited above.</w:t>
      </w:r>
    </w:p>
    <w:p>
      <w:r>
        <w:t>26. However, decision-making practice generally considers that a risk of vertical or conglomerate effect can be ruled out, provided that the market share of the company resulting from the operation in the relevant markets does not exceed 30 %15.</w:t>
      </w:r>
    </w:p>
    <w:p>
      <w:r>
        <w:t>27. In this case, there is a vertical relationship between the booking service for professionals of Mister Fly and the composition of dynamic packages of QCNS. Furthermore, a link of connection exists between QCNS's cruise offer without transportation and the offer of flights and overnight stays from Mister Fly.</w:t>
      </w:r>
    </w:p>
    <w:p>
      <w:r>
        <w:t>28. However, the market shares of the parties are below 30 % in each of these markets, with QCNS having at most a market share of [20-30] % in the ocean cruise segment16 and Mister Fly having a market share below [5-10] % in all the relevant markets.</w:t>
      </w:r>
    </w:p>
    <w:p>
      <w:r>
        <w:t>29. Therefore, the notified operation is not likely to harm competition through non-horizontal effects.</w:t>
      </w:r>
    </w:p>
    <w:p>
      <w:r>
        <w:t>DECIDES</w:t>
      </w:r>
    </w:p>
    <w:p>
      <w:r>
        <w:t>Sole Article: The operation notified under number 17-105 is authorized.</w:t>
      </w:r>
    </w:p>
    <w:p>
      <w:r>
        <w:t>The President,</w:t>
        <w:br/>
        <w:t>Isabelle de Silva</w:t>
      </w:r>
    </w:p>
    <w:p>
      <w:r>
        <w:t>© Competition Authority</w:t>
      </w:r>
    </w:p>
    <w:p>
      <w:r>
        <w:t>15 Guidelines of the Competition Authority regarding the control of concentrations, paragraph 384.</w:t>
      </w:r>
    </w:p>
    <w:p>
      <w:r>
        <w:t>16 The competitors of QCNS in this segment are Karavel ([20-30] %), Dreamlines ([0-5] %), and So’Croisières ([0-5 %).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