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https://www.autoritedelaconcurrence.fr/fr/decision-de-controle-des-concentrations/relative-la-prise-de-controle-exclusif-de-la-societe-raise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26-DCC-83 of April 3, 2026  </w:t>
        <w:br/>
        <w:t xml:space="preserve">regarding the exclusive control of the company Raise  </w:t>
        <w:br/>
        <w:t xml:space="preserve">by the CARAC group  </w:t>
        <w:br/>
        <w:t xml:space="preserve">The Competition Authority,  </w:t>
        <w:br/>
        <w:t xml:space="preserve">Having regard to the notification file submitted in full to the concentrations service on March 12, 2026,  </w:t>
        <w:br/>
        <w:t xml:space="preserve">regarding the exclusive control of the company Raise by the CARAC group, formalized by  </w:t>
        <w:br/>
        <w:t xml:space="preserve">an investment protocol concluded on February 26, 2026;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exclusive control by the CARAC group of the company  </w:t>
        <w:br/>
        <w:t xml:space="preserve">Raise, which specializes in asset management. The operation constitutes a concentration,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26-067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