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https://www.autoritedelaconcurrence.fr/fr/decision-de-controle-des-concentrations/relative-la-prise-de-controle-exclusif-de-la-societe-rc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24-DCC-146 of July 8, 2024  </w:t>
        <w:br/>
        <w:t xml:space="preserve">regarding the exclusive control acquisition of RC Group by  </w:t>
        <w:br/>
        <w:t xml:space="preserve">Crédit Mutuel Equity  </w:t>
        <w:br/>
        <w:t xml:space="preserve">The Competition Authority,  </w:t>
        <w:br/>
        <w:t xml:space="preserve">Having regard to the complete notification file submitted to the mergers department on June 21, 2024,  </w:t>
        <w:br/>
        <w:t xml:space="preserve">concerning the exclusive control acquisition of RC Group by Crédit Mutuel Equity,  </w:t>
        <w:br/>
        <w:t xml:space="preserve">formalized by an investment agreement signed on June 20,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Crédit Mutuel Equity  </w:t>
        <w:br/>
        <w:t xml:space="preserve">of RC Group, and its subsidiaries, active in the operational marketing sector.  </w:t>
        <w:br/>
        <w:t xml:space="preserve">The notified operation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thresholds of  </w:t>
        <w:br/>
        <w:t xml:space="preserve">control mentioned in I of Article L. 430-2 of the Commercial Code are exceeded. The present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24-137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