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https://www.autoritedelaconcurrence.fr/fr/decision-de-controle-des-concentrations/relative-la-prise-de-controle-exclusif-de-la-societe-relais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22-DCC-16 of February 9, 2022  </w:t>
        <w:br/>
        <w:t xml:space="preserve">regarding the exclusive control acquisition of the company Relais Colis by the  </w:t>
        <w:br/>
        <w:t xml:space="preserve">company Walden Group  </w:t>
        <w:br/>
        <w:t xml:space="preserve">The Competition Authority,  </w:t>
        <w:br/>
        <w:t xml:space="preserve">Having regard to the complete notification file submitted to the mergers department on January 24, 2022,  </w:t>
        <w:br/>
        <w:t xml:space="preserve">concerning the exclusive control acquisition of the company Relais Colis by the company Walden Group,  </w:t>
        <w:br/>
        <w:t xml:space="preserve">formalized by a purchase promise dated November 25, 2021, and a minutes dated  </w:t>
        <w:br/>
        <w:t xml:space="preserve">January 25,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Relais Colis, active  </w:t>
        <w:br/>
        <w:t xml:space="preserve">in the parcel road transport sector by courier, by the company Ciblex International,  </w:t>
        <w:br/>
        <w:t xml:space="preserve">controlled by the company Walden Group, active in the same sector. It constitutes a  </w:t>
        <w:br/>
        <w:t xml:space="preserve">concentration operation within the meaning of Article L. 430-1 of the Commercial Code. Given the  </w:t>
        <w:br/>
        <w:t xml:space="preserve">turnover achieved by the companies concerned, the operation does not fall under the  </w:t>
        <w:br/>
        <w:t xml:space="preserve">jurisdiction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21-301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