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https://www.autoritedelaconcurrence.fr/fr/decision-de-controle-des-concentrations/relative-la-prise-de-controle-exclusif-de-la-societe-res</w:t>
      </w:r>
    </w:p>
    <w:p>
      <w:r>
        <w:t>Pages translated : 2</w:t>
      </w:r>
    </w:p>
    <w:p/>
    <w:p>
      <w:r>
        <w:rPr>
          <w:b/>
        </w:rPr>
        <w:t>[Pages 1–2]</w:t>
      </w:r>
    </w:p>
    <w:p>
      <w:r>
        <w:t xml:space="preserve">FRENCH REPUBLIC  </w:t>
        <w:br/>
        <w:t xml:space="preserve">Decision No. 21-DCC-186 of October 15, 2021  </w:t>
        <w:br/>
        <w:t xml:space="preserve">regarding the exclusive control acquisition of the company RES Méditerranée  </w:t>
        <w:br/>
        <w:t xml:space="preserve">by the company Hanwha Solutions Corporation  </w:t>
        <w:br/>
        <w:t xml:space="preserve">The Competition Authority,  </w:t>
        <w:br/>
        <w:t xml:space="preserve">Having regard to the complete notification file sent to the mergers department on  </w:t>
        <w:br/>
        <w:t xml:space="preserve">September 28, 2021, concerning the exclusive control acquisition of the company RES Méditerranée by the  </w:t>
        <w:br/>
        <w:t xml:space="preserve">company Hanwha Solutions Corporation and formalized by a share transfer agreement dated  </w:t>
        <w:br/>
        <w:t xml:space="preserve">August 9, 2021;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Hanwha Solutions  </w:t>
        <w:br/>
        <w:t xml:space="preserve">Corporation, a subsidiary of the Hanwha group, of the company RES Méditerranée active in the sector  </w:t>
        <w:br/>
        <w:t xml:space="preserve">of development and construction of renewable energy projects, notably photovoltaic.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21-192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