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https://www.autoritedelaconcurrence.fr/fr/decision-de-controle-des-concentrations/relative-la-prise-de-controle-exclusif-de-la-societe-rg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13-DCC-51 of May 13, 2013  </w:t>
        <w:br/>
        <w:t xml:space="preserve">regarding the exclusive control acquisition of the company RG Safety by the  </w:t>
        <w:br/>
        <w:t xml:space="preserve">company Abenex Capital  </w:t>
        <w:br/>
        <w:t xml:space="preserve">The Competition Authority,  </w:t>
        <w:br/>
        <w:t xml:space="preserve">Having regard to the complete notification file submitted to the mergers department on April 3, 2013,  </w:t>
        <w:br/>
        <w:t xml:space="preserve">concerning the exclusive control acquisition of the company RG Safety by the company Abenex Capital  </w:t>
        <w:br/>
        <w:t xml:space="preserve">materialized by a share transfer agreement dated March 21, 2013;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of the company RG Safety, at the head  </w:t>
        <w:br/>
        <w:t xml:space="preserve">of a group of companies active in the personal protective equipment sector,  </w:t>
        <w:br/>
        <w:t xml:space="preserve">by Abenex Capital, a portfolio management company active in the field of private equity. It constitutes a concentration operation within the meaning of Article L. 430-1 of  </w:t>
        <w:br/>
        <w:t xml:space="preserve">the Commercial Code. Given the turnover achieved by the companies concerned,  </w:t>
        <w:br/>
        <w:t xml:space="preserve">the operation does not have a community dimension. On the other hand, the control thresholds  </w:t>
        <w:br/>
        <w:t xml:space="preserve">related to retail trade mentioned in point I of Article L. 430-2 of the Commercial Code are exceeded. This operation is therefore subject to the provisions of Articles  </w:t>
        <w:br/>
        <w:t xml:space="preserve">L. 430-3 and following of the Commercial Code relating to economic concentration.  </w:t>
        <w:br/>
        <w:t>2. In view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13-048 is authorized.  </w:t>
        <w:br/>
        <w:t xml:space="preserve">The President,  </w:t>
        <w:br/>
        <w:t xml:space="preserve">Bruno Lasserre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