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https://www.autoritedelaconcurrence.fr/fr/decision-de-controle-des-concentrations/relative-la-prise-de-controle-exclusif-de-la-societe-ricoux</w:t>
      </w:r>
    </w:p>
    <w:p>
      <w:r>
        <w:t>Pages translated : 2</w:t>
      </w:r>
    </w:p>
    <w:p/>
    <w:p>
      <w:r>
        <w:rPr>
          <w:b/>
        </w:rPr>
        <w:t>[Pages 1–2]</w:t>
      </w:r>
    </w:p>
    <w:p>
      <w:r>
        <w:t xml:space="preserve">FRENCH REPUBLIC  </w:t>
        <w:br/>
        <w:t xml:space="preserve">Decision No. 25-DCC-48 of March 12, 2025  </w:t>
        <w:br/>
        <w:t xml:space="preserve">regarding the exclusive control acquisition of Ricoux by  </w:t>
        <w:br/>
        <w:t xml:space="preserve">Holding Bony  </w:t>
        <w:br/>
        <w:t xml:space="preserve">The Competition Authority,  </w:t>
        <w:br/>
        <w:t xml:space="preserve">Having regard to the complete notification file submitted to the mergers department on February 25, 2025,  </w:t>
        <w:br/>
        <w:t xml:space="preserve">concerning the exclusive control acquisition of Ricoux by Holding Bony,  </w:t>
        <w:br/>
        <w:t xml:space="preserve">formalized by a transfer contract signed on February 11,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transaction consists of the acquisition, through Bony Sales Manager R.P, exclusively controlled by Holding Bony, of the entire capital and voting rights of Ricoux, which is active in the automobile distribution sector in the cities of Thiers (63) and Ambert (63). This transaction constitutes a concentration within the meaning of Article L. 430-1 of the Commercial Code. Given the turnover achieved by the companies concerned, the transaction does not fall under the jurisdiction of the European Union. However, the control thresholds mentioned in II of Article L. 430-2 of the Commercial Code are exceeded. This transaction is therefore subject to the provisions of Articles L. 430-3 and following of the Commercial Code relating to economic concentration.  </w:t>
        <w:br/>
        <w:t>2. In light of the elements of the file, the transaction is not likely to harm competition in the relevant markets.</w:t>
      </w:r>
    </w:p>
    <w:p>
      <w:r>
        <w:t xml:space="preserve">DECIDES  </w:t>
        <w:br/>
        <w:t xml:space="preserve">Sole Article: The transaction notified under number 25-044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