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https://www.autoritedelaconcurrence.fr/fr/decision-de-controle-des-concentrations/relative-la-prise-de-controle-exclusif-de-la-societe-rlpg</w:t>
      </w:r>
    </w:p>
    <w:p>
      <w:r>
        <w:t>Pages translated : 6</w:t>
      </w:r>
    </w:p>
    <w:p/>
    <w:p>
      <w:r>
        <w:rPr>
          <w:b/>
        </w:rPr>
        <w:t>[Pages 1–3]</w:t>
      </w:r>
    </w:p>
    <w:p>
      <w:r>
        <w:t xml:space="preserve">FRENCH REPUBLIC  </w:t>
        <w:br/>
        <w:t xml:space="preserve">Decision No. 13-DCC-63 of May 29, 2013  </w:t>
        <w:br/>
        <w:t xml:space="preserve">regarding the exclusive control of the company  </w:t>
        <w:br/>
        <w:t xml:space="preserve">RLPG Développement by the company Retail Leader Price  </w:t>
        <w:br/>
        <w:t xml:space="preserve">Investment (Casino Group)  </w:t>
        <w:br/>
        <w:t xml:space="preserve">The Competition Authority,  </w:t>
        <w:br/>
        <w:t xml:space="preserve">Having regard to the notification file submitted in full to the concentrations service on April 23, 2013,  </w:t>
        <w:br/>
        <w:t xml:space="preserve">regarding the acquisition of control of the company RLPG Développement ("RLPG") by the company  </w:t>
        <w:br/>
        <w:t xml:space="preserve">Retail Leader Price Investissement ("RLPI"), formalized by a memorandum of understanding concluded on  </w:t>
        <w:br/>
        <w:t xml:space="preserve">April 11, 2013;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Retail Leader Price Investissement (hereinafter "RLPI") is a subsidiary of the Casino Guichard Perrachon group whose main purpose is to acquire stakes in companies operating stores under the Leader Price brand. The Casino group, the third largest French player in food distribution, manages a network of over 12,000 stores (hypermarkets, supermarkets, convenience stores, discount stores...) under the Casino, Franprix, Leader Price, Spar, and Vival brands. The Casino group also holds 50% of the Monoprix group. It is also present in the online distribution sector of non-food products with the Cdiscount brand. The Casino group is controlled by the Euris group, which is itself controlled by Mr. Jean-Charles Naouri.  </w:t>
        <w:br/>
        <w:t xml:space="preserve">2. RLPG Développement (hereinafter "RLPG") is a simplified joint-stock company whose capital and voting rights are held 49% by RLPI and 51% by Mr. [X] (2% directly and 49% via the company [Y] which he controls). RLPG is active in the retail sector. It operates 28 sales outlets under the Leader Price brand via 28 operating companies over which it exercises exclusive control.  </w:t>
        <w:br/>
        <w:t xml:space="preserve">3. In accordance with the provisions of its statutes, RLPG is equipped with a supervisory board composed of three members, among whom two are appointed by the company [Y] and one by RLPI. Decisions can only be validly made within the supervisory board if the member appointed by RLPI is present or represented. Most decisions of the supervisory board are made by a simple majority, notably those relating to the adoption of development plans and annual investment, financing, and operating budgets of the company or its subsidiaries. These decisions can therefore be voted on by the only members appointed by Mr. [X]. Other decisions, notably those relating to the acquisition of any stake in any company, the establishment of branches or subsidiaries by the company or one of its subsidiaries, or the acquisition of any business assets, provided that this acquisition, subscription, or establishment concerns assets valued at more than […] euros, are adopted by a reinforced majority and therefore require the vote of the RLPI member to be adopted.  </w:t>
        <w:br/>
        <w:t xml:space="preserve">4. Furthermore, the corporate purpose of RLPG is limited by its statutes to the operation of stores "under the Leader Price brand or any brand of the Casino group." This clause can only be modified by a majority of partners representing more than 75% of the voting rights. Consequently, the stores operated by RLPG and its subsidiaries cannot change brands without the prior agreement of RLPI. Moreover, RLPI is informed of a large number of decisions, notably those concerning (i) the quarterly analytical situation by store showing the main elements of the income statement, the workforce, the cash flow situation, and the company's debt situation, (ii) a budget forecast for the upcoming fiscal year including the projected balance sheets and income statements for each quarter, the monthly cash flow forecasts, the employment/resources plan, and the investment expenditures of the company and the companies it controls, and (iii) for each project to acquire a business or a company operating such a business, a detailed information document. RLPI also has the right to conduct an annual audit of the accounts and, in the event of serious or gross misconduct, to revoke the president of RLPG. Furthermore, under the agreement concluded between the shareholders of RLPG on October 13, 2008, RLPI benefits from a right of first refusal granted by RLPG and its subsidiaries in the event of the sale of their business assets or in the event of RLPG selling the shares of its subsidiaries. Finally, the company [Y] and RLPI concluded on October 13, 2008 a promise of sale and a promise to purchase [Y]'s stake in RLPG. Due to amendments signed on December 29, 2011, these promises of purchase and sale concern not only [Y]'s stake but also Mr. [X]'s stake in the capital of RLPG.  </w:t>
        <w:br/>
        <w:t xml:space="preserve">5. It follows from the above that Mr. [X] and RLPI had, before the operation, joint control over RLPG.  </w:t>
        <w:br/>
        <w:t xml:space="preserve">6. According to the terms of the memorandum of understanding concluded between RLPI, the company [Y], and Mr. [X] on April 11, 2013, the operation consists of the acquisition of all the capital and voting rights of RLPG by RLPI. Insofar as it results in the exclusive control of the company RLPG by RLPI, the operation constitutes a concentration operation within the meaning of Article L. 430-1 of the Commercial Code.  </w:t>
        <w:br/>
        <w:t xml:space="preserve">7. The companies concerned operate several retail stores and together achieve a total worldwide turnover of more than 75 million euros (Casino Group: 34.3 billion euros for the fiscal year ending December 31, 2011; RLPG: […] euros for the same fiscal year). They achieve in France, in the retail sector, a turnover exceeding 15 million euros (Casino Group: 18.7 billion euros for the fiscal year ending December 31, 2011; RLPG: […] euros for the same fiscal year). Given these turnovers,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8. According to the consistent practice of national and Community competition authorities, two categories of markets can be delineated in the food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  </w:t>
        <w:br/>
        <w:t xml:space="preserve">A. DOWNSTREAM MARKETS OF DISTRIBUTION  </w:t>
        <w:br/>
        <w:t xml:space="preserve">1. SERVICE MARKETS  </w:t>
        <w:br/>
        <w:t xml:space="preserve">9. Regarding the retail sale of everyday consumer goods, competition authorities, both Community and national, have distinguished six categories of trade using several criteria, notably the size of the stores, their sales techniques, their accessibility, the nature of the service provided, and the range of products offered: (i) hypermarkets, (ii) supermarkets, (iii) specialized trade, (iv) small retail trade, (v) maxi discounters, (vi) mail order sales.  </w:t>
        <w:br/>
        <w:t xml:space="preserve">10. Hypermarkets are usually defined as food-dominant stores with a sales area equal to or greater than 2,500 m², and supermarkets as food-dominant stores with a sales area less than 2,500 m² and greater than  </w:t>
        <w:br/>
        <w:t xml:space="preserve">3 See notably the decisions of the Commission M.496 Intermarché/Spar of June 30, 1997, M.991 Promodès/Casino of October 30, 1997, and M.1684 Carrefour/Promodès of January 25, 2000. See also notably decision No. 12-DCC-48 of April 6, 2012, regarding the exclusive control of the company Sofides by the company ITM Entreprises.  </w:t>
        <w:br/>
        <w:t xml:space="preserve">4 See notably the decisions of the Commission in the cases M.1221 Rewe/Meinl of February 3, 1999, M.1684 Carrefour/Promodès of January 25, 2000, and M.2115 Carrefour/GB of September 28, 2000. See also decision C.2005-98 Carrefour/Penny Market of November 10, 2005.  </w:t>
        <w:br/>
        <w:t>5 See notably the decisions of the Minister of Economy, Finance, and Industry in the sector: C.2008-32 Amidis SAGC of July 9, 2008, C.2007-172 Carrefour Plane Plamidis of February 13, 2008, C.2007-154 Système U Vergali of December 3, 2007, C.2007-05 Carrefour Sofadi of March 26, 2007, C.2006-15 Amidis Hamon of April 14, 2006, C.2005-98 Carrefour Penny Market of November 10, 2005.</w:t>
      </w:r>
    </w:p>
    <w:p>
      <w:r>
        <w:rPr>
          <w:b/>
        </w:rPr>
        <w:t>[Pages 4–6]</w:t>
      </w:r>
    </w:p>
    <w:p>
      <w:r>
        <w:t xml:space="preserve">400 m². However, it should be noted that these thresholds must be used with caution and can be adapted to the specific case, as stores with a surface area close to a threshold, either below or above, may be in direct competition with stores of another category.  </w:t>
        <w:br/>
        <w:t xml:space="preserve">11. In this case, the 28 stores operated by RLPG fall into the category of supermarkets.  </w:t>
        <w:br/>
        <w:t xml:space="preserve">2. GEOGRAPHICAL DELIMITATION  </w:t>
        <w:br/>
        <w:t xml:space="preserve">12. It follows from decision-making practice6 that the conditions of competition are assessed in two different areas depending on the size of the stores:  </w:t>
        <w:br/>
        <w:t xml:space="preserve">- a market where consumer demand and the supply of supermarkets and equivalent forms of commerce located within 15 minutes of travel time by car meet. These latter forms of commerce may include, in addition to supermarkets, hypermarkets located close to consumers and discount stores;  </w:t>
        <w:br/>
        <w:t xml:space="preserve">- a second market where consumer demand from an area meets the supply of hypermarkets that they can access within 30 minutes of travel time by car and which are, from their perspective, substitutable for each other.  </w:t>
        <w:br/>
        <w:t xml:space="preserve">13.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a refinement, in the specific case, of the usual delimitations presented above.  </w:t>
        <w:br/>
        <w:t xml:space="preserve">14. In this case, as the stores operated by the parties fall into the category of supermarkets, the relevant markets are catchment areas defined taking into account a maximum driving time of 15 minutes from the 28 stores concerned.  </w:t>
        <w:br/>
        <w:t xml:space="preserve">B. UPSTREAM SUPPLY MARKET  </w:t>
        <w:br/>
        <w:t xml:space="preserve">15. Regarding the supply markets, the European Commission7 has recognized the existence of markets of national dimension by major product groups, a delimitation followed by national authorities8.  </w:t>
        <w:br/>
        <w:t xml:space="preserve">16. There is no need to challenge this delimitation in the context of the present operation.  </w:t>
        <w:br/>
        <w:t xml:space="preserve">6 See in particular the decisions of the Competition Authority No. 12-DCC-63 regarding the exclusive control of the company Guyenne et Gascogne SA by the company Carrefour SA, decision No. 11-DCC-04 of January 28, 2011, regarding the exclusive control of the company Mafical by the company ITM Alimentaire Région parisienne; decision No. 11-DCC-05 of January 17, 2011, regarding the exclusive control of the company Distri Sud-Ouest by the company Retail Leader Price Investissement; and decision No. 11-DCC-45 of March 18, 2011, regarding the exclusive control of the business of the hypermarket Cora Desmarais by the company Sodex Desmarais.  </w:t>
        <w:br/>
        <w:t xml:space="preserve">7 See the decisions of the Commission M.1684 Carrefour/Promodès of January 25, 2000, and M.2115 Carrefour/GB of September 28, 2000.  </w:t>
        <w:br/>
        <w:t xml:space="preserve">8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  </w:t>
        <w:br/>
        <w:t>4</w:t>
      </w:r>
    </w:p>
    <w:p>
      <w:r>
        <w:t xml:space="preserve">III. Competitive Analysis  </w:t>
        <w:br/>
        <w:t xml:space="preserve">A. DOWNSTREAM MARKETS FOR FOOD RETAIL DISTRIBUTION  </w:t>
        <w:br/>
        <w:t xml:space="preserve">17. The operation does not result in any overlap of activities between stores operated by subsidiaries of RLPG and other stores of the Casino group in the following 15 catchment areas: Angoulins-sur-mer (17), Barbezieux-Saint-Hilaire (16), Chateaubernard (16), Chatillon-sur-Indre (36), Cinq-mars-la-Pile (37), Gémozac (17), Loudun (86), Montmorillon (86), Royan (17), Ruffec (16), Savigné (86), Saint Jean d’Angély (17), Saujon (17), Surgères (17), and Vouillé (86).  </w:t>
        <w:br/>
        <w:t xml:space="preserve">18. The operation results in an overlap of activities between stores operated by RLPG or its subsidiaries and other stores owned by the Casino group (operated under the Leader Price, Franprix, Spar, Casino, Géant Casino, and Monoprix brands) in the following 13 catchment areas: Angoulême (16), Chambray-les-Tours (37), Champniers (16), Chateauroux (36), Chatellerault (86), Confolens (16), Jardres (86), Joué-les-Tours (37), Lagord (17), Lusignan (86), Rochefort (17), Saint Benoît (86), and Tours (37).  </w:t>
        <w:br/>
        <w:t xml:space="preserve">19. The market shares of the target and the Casino group in the relevant catchment areas are as follows according to the delimitation retained by the parties:  </w:t>
        <w:br/>
        <w:t xml:space="preserve">Casino Group / Total after  </w:t>
        <w:br/>
        <w:t xml:space="preserve">Zone RLPG9  </w:t>
        <w:br/>
        <w:t xml:space="preserve">Monoprix operation  </w:t>
        <w:br/>
        <w:t xml:space="preserve">Chateauroux [0-5] % [0-5] % [5-10] %  </w:t>
        <w:br/>
        <w:t xml:space="preserve">Tours [0-5] % [0-5] % [5-10] %  </w:t>
        <w:br/>
        <w:t xml:space="preserve">Chatellerault [0-5] % [0-5] % [5-10] %  </w:t>
        <w:br/>
        <w:t xml:space="preserve">Lagord [0-5] % [5-10] % [5-10] %  </w:t>
        <w:br/>
        <w:t xml:space="preserve">Rochefort [5-10] % [5-10] % [10-20] %  </w:t>
        <w:br/>
        <w:t xml:space="preserve">Jardres [5-10] % [0-5] % [10-20] %  </w:t>
        <w:br/>
        <w:t xml:space="preserve">Chambray-les-Tours [0-5] % [10-20] % [10-20] %  </w:t>
        <w:br/>
        <w:t xml:space="preserve">Joué-les-Tours [0-5] % [10-20] % [20-30] %  </w:t>
        <w:br/>
        <w:t xml:space="preserve">Angoulême [5-10] % [10-20] % [20-30] %  </w:t>
        <w:br/>
        <w:t xml:space="preserve">Saint Benoît [0-5] % [20-30] % [20-30] %  </w:t>
        <w:br/>
        <w:t xml:space="preserve">Lusignan [10-20] % [10-20] % [20-30] %  </w:t>
        <w:br/>
        <w:t xml:space="preserve">Champniers [0-5] % [20-30] % [30-10] %  </w:t>
        <w:br/>
        <w:t xml:space="preserve">Confolens [10-20] % [20-30] % [10-50] %  </w:t>
        <w:br/>
        <w:t xml:space="preserve">20. In the areas of Angoulême, Chambray-les-Tours, Champniers, Chateauroux, Chatellerault, Jardres, Joué-les-Tours, Lagord, Lusignan, Rochefort, Saint-Benoît, and Tours, the cumulative market share of the parties will remain below [30-40] % following the operation. In these areas, the parties will continue to face competition from at least three different brands, except in the area of Lusignan where the parties will face two competing brands.  </w:t>
        <w:br/>
        <w:t xml:space="preserve">21. In the area of Confolens, the target store represents [10-20] % of the sales area of the zone and a Casino store represents [20-30] % of the sales area of the zone. The parties therefore hold a cumulative market share of [40-50] % there. Nevertheless, they will face significant competition from an Intermarché store ([20-30] % of the sales area of the zone), a Lidl store ([10-20] %), and an Aldi store ([10-20] %), located in immediate proximity to the target store.  </w:t>
        <w:br/>
        <w:t xml:space="preserve">22. It follows from these elements that the operation is not likely to harm competition in the downstream markets for food retail distribution.  </w:t>
        <w:br/>
        <w:t xml:space="preserve">B. UPSTREAM SUPPLY MARKETS  </w:t>
        <w:br/>
        <w:t xml:space="preserve">23. Regarding the upstream supply markets, the operation is limited to 28 stores representing, in 2012, less than [0-5] % of the turnover generated in France by the entire food distribution activity of the Casino group. The acquisition of RLPG is therefore not likely to significantly strengthen the purchasing power of the Casino group, in the overall supply market as well as in the supply markets segmented by major product groups. The strengthening of the Casino group in these markets following the operation will be all the more minor as, prior to the operation, the stores subject to the notified operation were already sourcing predominantly from the purchasing center Distribution Leader Price, a subsidiary of the Casino group.  </w:t>
        <w:br/>
        <w:t xml:space="preserve">DECIDES  </w:t>
        <w:br/>
        <w:t xml:space="preserve">Sole Article: The operation notified under number 13-063 is authorized.  </w:t>
        <w:br/>
        <w:t xml:space="preserve">The President,  </w:t>
        <w:br/>
        <w:t xml:space="preserve">Bruno Lasserre  </w:t>
        <w:br/>
        <w:t xml:space="preserve">© Competition Authority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