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https://www.autoritedelaconcurrence.fr/fr/decision-de-controle-des-concentrations/relative-la-prise-de-controle-exclusif-de-la-societe-rolls</w:t>
      </w:r>
    </w:p>
    <w:p>
      <w:r>
        <w:t>Pages translated : 6</w:t>
      </w:r>
    </w:p>
    <w:p/>
    <w:p>
      <w:r>
        <w:rPr>
          <w:b/>
        </w:rPr>
        <w:t>[Pages 1–3]</w:t>
      </w:r>
    </w:p>
    <w:p>
      <w:r>
        <w:t xml:space="preserve">FRENCH REPUBLIC  </w:t>
        <w:br/>
        <w:t xml:space="preserve">Decision No. 13-DCC-91 of July 12, 2013  </w:t>
        <w:br/>
        <w:t xml:space="preserve">regarding the exclusive control of Rolls-Royce Turbomeca Ltd. by the Safran group  </w:t>
        <w:br/>
        <w:t xml:space="preserve">The Competition Authority,  </w:t>
        <w:br/>
        <w:t xml:space="preserve">Having regard to the notification file submitted in full to the merger service on June 10, 2013, regarding the exclusive control of Rolls-Royce Turbomeca Ltd. by the Safran group, formalized by an acquisition contract concluded on April 23,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Safran SA, a public limited company listed on NYSE Euronext Paris, is the parent company of the Safran group active in the fields of aerospace and space propulsion, aeronautical equipment, defense, and security. Turbomeca SA (hereinafter "Turbomeca") is a subsidiary of the Safran group specialized in the design, production, sale, and maintenance of small and medium power turboshaft engines for helicopters and the marketing of turbojets for aircraft.  </w:t>
        <w:br/>
        <w:t xml:space="preserve">2. Rolls-Royce Turbomeca Ltd. (hereinafter "RRTM") is a company under English law jointly controlled by Rolls-Royce on the one hand, and Turbomeca on the other. RRTM designs, manufactures, and markets the RTM 322 turboshaft engine which equips certain models of military helicopters. RRTM is present in France through its subsidiary RRTM SAS.  </w:t>
        <w:br/>
        <w:t>3. According to the terms of an acquisition contract concluded on April 23, 2013, between Rolls-Royce, Turbomeca, and RRTM, Turbomeca will acquire all the shares held by Rolls-Royce in the capital of RRTM and will therefore hold, at the end of the operation, 100% of the capital of the latter. Thus, the Safran group will hold, through its subsidiary Turbomeca, exclusive control of RRTM.</w:t>
      </w:r>
    </w:p>
    <w:p>
      <w:r>
        <w:t xml:space="preserve">4. In that it results in the transition from joint control to exclusive control of RRTM by Safran, the notified operation constitutes a concentration operation within the meaning of Article L. 430-1 of the Commercial Code.  </w:t>
        <w:br/>
        <w:t xml:space="preserve">5. The companies concerned together achieve a total worldwide turnover of more than 150 million euros (Safran: 13.5 billion euros for the fiscal year ending December 31, 2012; RRTM: 169 million euros for the same fiscal year). Each achieves a turnover in France exceeding 50 million euros (Safran: […] euros for the fiscal year 2012; RRTM: […] euros for the same fiscal year). Given these turnovers,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6. The present operation concerns the sector of the manufacture, marketing, and maintenance of helicopter turbines, also called turboshaft engines. The parties each market a type of turboshaft engine, intended for civilian and military helicopters in the case of the acquirer and for certain military helicopters in the case of the target.  </w:t>
        <w:br/>
        <w:t xml:space="preserve">A. THE PRODUCT AND SERVICE MARKETS  </w:t>
        <w:br/>
        <w:t xml:space="preserve">1. THE MARKETS FOR TURBOSHAFT ENGINES FOR HELICOPTERS  </w:t>
        <w:br/>
        <w:t xml:space="preserve">7. In the field of engines and aerospace propulsion, Community decision-making practice has distinguished the market for turboshaft engines for helicopters from that of turbojets for aircraft, as the latter serve different purposes (gas ejection for aircraft, rotor drive for helicopters) and correspond to specific and distinct know-how and production means.  </w:t>
        <w:br/>
        <w:t xml:space="preserve">8. Decision-making practice has not had the opportunity to rule on possible segmentations of the market for turboshaft engines for helicopters, but the European Commission has several times recognized the relevance of a segmentation between civilian and military uses regarding the marketing of helicopters in light of the differences that exist both in terms of product characteristics, demand structure, and competition conditions specific to each of these markets. Regarding the market for military helicopters, the European Commission has considered a segmentation based on the type of mission for which the helicopter is intended or based on the type of engine of the helicopters, their weight, or their size; however, all these questions have been left open.  </w:t>
        <w:br/>
        <w:t xml:space="preserve">1 See decisions COMP/M.2021 Snecma / Labinal and COMP/M.3621 Sagem/Snecma  </w:t>
        <w:br/>
        <w:t xml:space="preserve">2 See decision IV/ M.0017 Aérospatiale / MBB and COMP/ M. 1501 GNK Westland / Augusta / JV  </w:t>
        <w:br/>
        <w:t>3 See decision COMP/ M.1745 EADS and M.1501 cited above</w:t>
      </w:r>
    </w:p>
    <w:p>
      <w:r>
        <w:t>2</w:t>
      </w:r>
    </w:p>
    <w:p>
      <w:r>
        <w:t xml:space="preserve">9. Indeed, the parties emphasize that the motorization of helicopters is primarily conditioned by the weight of the helicopter's airframe and the type of mission envisaged (military, civilian, para-public applications, etc.). They believe that the helicopter turboshaft engine market should be more finely segmented, depending on whether the turboshaft engines equip helicopters for civilian or military use, according to the type of helicopter (specific platform) or according to the engine power, as turboshaft engines are not interchangeable with each other depending on the helicopter models and the missions for which they are designed.  </w:t>
        <w:br/>
        <w:t xml:space="preserve">10. In the present case, the Safran group, through Turbomecca, primarily manufactures engines for light helicopters. Regarding heavy helicopters, it only markets the Makila engine with a power of 1,800-2,100 shp which exclusively equips the EC 225/725 and Super Puma helicopters from Eurocopter, whose weight ranges from 9 to 12 tons for civilian and military missions. The target, for its part, markets only one turboshaft engine, the RTM 322, with a power ranging from 2,100-2,600 shp, exclusively equipping certain models of military helicopters whose weight ranges from 10 to 15 tons (the EH-101 Merlin, the Apache, and the NH90).  </w:t>
        <w:br/>
        <w:t xml:space="preserve">11. It also emerges from the investigation that helicopter manufacturers choose the engine manufacturers that will equip their aircraft either by entering into industrial cooperation agreements prior to the development of an aircraft or by conducting calls for tenders to select the engine manufacturer(s) that will equip their helicopters. In this regard, the parties emphasize that helicopter manufacturers, in order to ensure the widest possible distribution to their end customers, are now committing to a dual-source approach for the motorization of their helicopters: a helicopter model can be equipped with engines from competing manufacturers specifically developed to integrate the helicopter model in question. Thus, the EH101 and NH90 helicopter models powered by the target can alternatively be powered by General Electric engines. For example, Italy, Spain, Canada, and Japan use General Electric engines on these helicopter models.  </w:t>
        <w:br/>
        <w:t xml:space="preserve">12. In light of the preceding elements and existing practice, a distinction between turboshaft engines for military helicopters and for civilian helicopters can be retained, as well as a segmentation based on the power of the turboshaft engine required according to the weight of the helicopter.  </w:t>
        <w:br/>
        <w:t xml:space="preserve">13. In this hypothesis, the operation would not result in any overlap of activity, as the acquirer and the target each market a turboshaft engine belonging to different power ranges and do not equip the same types of helicopters.  </w:t>
        <w:br/>
        <w:t xml:space="preserve">2. THE MAINTENANCE AND SPARE PARTS ACTIVITY FOR TURBOSHAFT ENGINES FOR HELICOPTERS  </w:t>
        <w:br/>
        <w:t xml:space="preserve">14. The parties also provide their clients with maintenance and repair services for their turboshaft engines. It is therefore necessary to question the existence of a distinct service market encompassing maintenance, servicing, and repair services for turboshaft engines for helicopters. Community decision-making practice has examined this.  </w:t>
        <w:br/>
        <w:t xml:space="preserve">4 The airframe refers to the entire structure consisting of the fuselage, cabin, landing gear, and tail.  </w:t>
        <w:br/>
        <w:t xml:space="preserve">5 The acronym shp refers to the measure of power exerted on a transmission shaft (shaft horsepower).  </w:t>
        <w:br/>
        <w:t>3</w:t>
      </w:r>
    </w:p>
    <w:p>
      <w:r>
        <w:rPr>
          <w:b/>
        </w:rPr>
        <w:t>[Pages 4–6]</w:t>
      </w:r>
    </w:p>
    <w:p>
      <w:r>
        <w:t xml:space="preserve">question regarding the sale of helicopters and concluded, while leaving the question open, that maintenance services are likely to belong to the same market6.  </w:t>
        <w:br/>
        <w:t xml:space="preserve">15. The parties similarly believe that maintenance and spare parts services should be included in the overall offer for the manufacture and marketing of helicopter turboshaft engines. They emphasize that the turboshaft engine offer is generally accompanied by a maintenance contract at the request of the clients themselves.  </w:t>
        <w:br/>
        <w:t xml:space="preserve">16. In the present case, the parties are not present in the same helicopter turboshaft engine markets and each provides these spare parts and maintenance services only within the framework of the sale of their own turboshaft engines and do not have clients for service and spare parts outside the sale of a turboshaft engine. On the occasion of the present operation, it is not necessary to resolve the question of the existence of a distinct market for maintenance and spare parts services for helicopter turboshaft engines, as, regardless of the hypothesis retained, the competitive analysis will remain unchanged.  </w:t>
        <w:br/>
        <w:t xml:space="preserve">B. THE GEOGRAPHICAL MARKETS  </w:t>
        <w:br/>
        <w:t xml:space="preserve">17. Community decision-making practice considers that the markets for propulsion and civil aeronautical equipment are at least European in dimension, if not global, while leaving the question open7.  </w:t>
        <w:br/>
        <w:t xml:space="preserve">18. Regarding the markets for military propulsion and aeronautical equipment, the Commission makes a distinction between producing countries for which the market would be of national dimension, and other countries where there is no national producer and where competition operates at the European level8. However, the Commission noted, while leaving the question open, that several initiatives taken at the European level aimed at evolving certain traditionally national markets towards a European defense equipment market tend to challenge the relevance of definitions of national markets. It should also be noted the recent adoption of community legislation aimed at harmonizing the rules for public procurement in defense and breaking down national markets in this area9.  </w:t>
        <w:br/>
        <w:t xml:space="preserve">19. The parties believe that competition operates at the global level by arguing that the engine manufacturers are large international groups (General Electric, Pratt &amp; Whitney, Klimov, and Motor Sich, etc.) as well as the clientele of helicopter manufacturers (Eurocopter, AugustaWestland, Boeing, etc.) and competition occurs during tenders launched at the global level.  </w:t>
        <w:br/>
        <w:t xml:space="preserve">20. Regarding a potential market for maintenance and spare parts services, community practice envisions a market of at least European dimension, if not global10. However, it is not necessary to specify the geographical delimitation of this potential market in the absence of any effect of the present operation on this market.  </w:t>
        <w:br/>
        <w:t xml:space="preserve">6 See the community decision M.1745, M.0017, and M.1501 cited above.  </w:t>
        <w:br/>
        <w:t xml:space="preserve">7 See the community decisions IV/M.1636 MMS/Dasa/Astrium.  </w:t>
        <w:br/>
        <w:t xml:space="preserve">8 See the community decisions M.0017, M.2021, M.1501, and M.1745 cited above.  </w:t>
        <w:br/>
        <w:t xml:space="preserve">9 Directive 2009/81/EC of the European Parliament and of the Council of July 13, 2009, on the coordination of procedures for the award of certain public works, supply, and service contracts by contracting authorities or entities in the fields of defense and security.  </w:t>
        <w:br/>
        <w:t>10 See the community decision M.1449 cited above.</w:t>
      </w:r>
    </w:p>
    <w:p>
      <w:r>
        <w:t xml:space="preserve">III. Competitive Analysis  </w:t>
        <w:br/>
        <w:t xml:space="preserve">21. The present operation consists of the transition from joint control to exclusive control of RRTM. In previous cases, both national and community competition authorities have emphasized that this change in the nature of control is generally not likely to significantly alter the conditions of competition, except in more complex cases involving parties that were in competition prior to the concentration11.  </w:t>
        <w:br/>
        <w:t xml:space="preserve">22. In the present case, the acquirer and the target are not in competition prior to the operation as they are active in distinct markets, each manufacturing a type of turboshaft engine that cannot equip the same types of aircraft. Helicopters using the RTM 322 manufactured by the target (EH-Merlin, Apache, NH90) can, however, be equipped with turboshaft engines manufactured by General Electric. Spain and Italy have thus ordered General Electric turbines for their NH90. The EH101 Merlin used by Italy, Canada, and Japan are also equipped with General Electric turboshaft engines. Finally, the American version of the Apache is equipped with General Electric turbines.  </w:t>
        <w:br/>
        <w:t xml:space="preserve">23. Therefore, the operation does not entail any overlap in activity, unless one considers the existence of a distinct market for maintenance for helicopter turbines. If such a distinct market were to be retained, Turbomeca's market share following the operation would be around [30-40]% in a European market and [20-30]% in a global market (based on helicopter sales).  </w:t>
        <w:br/>
        <w:t xml:space="preserve">24. Regarding potential vertical and conglomerate effects, it should be noted that prior to the operation, the target sourced exclusively from its two parent companies and the acquirer was already carrying out part of the assembly and delivery of the RTM322 engine marketed by RRTM. The operation does not alter the competitive situation since, following it, the target will continue to be supplied by Turbomeca for certain components of the RTM 322 turboshaft engine, and by Rolls-Royce, via a supply contract, for the other part of the components that it already supplies before the operation.  </w:t>
        <w:br/>
        <w:t xml:space="preserve">25. Furthermore, the Safran group is not present in any other market located downstream or upstream of the target's activities, and the operation is therefore not likely to create any vertical effect that would harm competition.  </w:t>
        <w:br/>
        <w:t xml:space="preserve">26. Finally, the present operation allows the Safran group to enrich its range of turboshaft engines for helicopters, but the position of the new entity in each of the two markets having a potential connection is not likely to allow for any leverage effect. In the global market for 9-12 ton and 10-15 ton motorization, the market shares of the new entity will not exceed [5-10]%. Moreover, industrial cooperation agreements or tenders established between helicopter manufacturers and engine manufacturers concern the motorization of a particular model. The purchasing campaigns of end clients are not multi-product but also concern a type of aircraft. Therefore, the implementation of any conglomerate effect is unlikely and can be ruled out. In any case, the entity resulting from the concentration will face competition from several major operators offering a similarly extensive range of turbines (General Electric, Pratt &amp; Whitney, Klimov, and Motor Sich).  </w:t>
        <w:br/>
        <w:t>11 See for example, at the national level, the decision of the Authority No. 11-DCC-34 of February 25, 2011, regarding the acquisition of exclusive control of Ne Varietur by GDF Suez and, at the European level, the decision of the European Commission of December 17, 2008, No. COMP/M.5141 KLM/Martinair.</w:t>
      </w:r>
    </w:p>
    <w:p>
      <w:r>
        <w:t xml:space="preserve">27. In light of the above, the operation is therefore not likely to harm competition.  </w:t>
        <w:br/>
        <w:t xml:space="preserve">DECIDES  </w:t>
        <w:br/>
        <w:t xml:space="preserve">Sole Article: The operation notified under number 13-077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