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https://www.autoritedelaconcurrence.fr/fr/decision-de-controle-des-concentrations/relative-la-prise-de-controle-exclusif-de-la-societe-roloni</w:t>
      </w:r>
    </w:p>
    <w:p>
      <w:r>
        <w:t>Pages translated : 2</w:t>
      </w:r>
    </w:p>
    <w:p/>
    <w:p>
      <w:r>
        <w:rPr>
          <w:b/>
        </w:rPr>
        <w:t>[Pages 1–2]</w:t>
      </w:r>
    </w:p>
    <w:p>
      <w:r>
        <w:t xml:space="preserve">FRENCH REPUBLIC  </w:t>
        <w:br/>
        <w:t xml:space="preserve">Decision No. 18-DCC-182 of October 31, 2018  </w:t>
        <w:br/>
        <w:t xml:space="preserve">regarding the exclusive control acquisition of the company Roloni by the company  </w:t>
        <w:br/>
        <w:t xml:space="preserve">InVivo Food &amp; Tech  </w:t>
        <w:br/>
        <w:t xml:space="preserve">The Competition Authority,  </w:t>
        <w:br/>
        <w:t xml:space="preserve">Having regard to the complete notification file sent to the mergers department on October 1, 2018,  </w:t>
        <w:br/>
        <w:t xml:space="preserve">concerning the exclusive control acquisition of the company Roloni by the company InVivo Food &amp; Tech,  </w:t>
        <w:br/>
        <w:t xml:space="preserve">formalized by a letter of intent dated June 20,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InVivo Food &amp; Tech, wholly owned by the company InVivo Group, a subsidiary of the In Vivo group, of exclusive control of the company Roloni. It constitutes a concentration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 xml:space="preserve">2. The main markets concerned by the operation, on which the activities of the parties overlap, are the upstream markets for the supply of food products, which are consistently defined by the decision-making practice of the Competition Authority.  </w:t>
        <w:br/>
        <w:t xml:space="preserve">3. Regardless of the segmentations retained, the estimated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18-194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