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https://www.autoritedelaconcurrence.fr/fr/decision-de-controle-des-concentrations/relative-la-prise-de-controle-exclusif-de-la-societe-romon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26-DCC-94 of April 15, 2026  </w:t>
        <w:br/>
        <w:t xml:space="preserve">regarding the exclusive control acquisition of  </w:t>
        <w:br/>
        <w:t xml:space="preserve">the company Romon by Cooperative U  </w:t>
        <w:br/>
        <w:t xml:space="preserve">The Competition Authority,  </w:t>
        <w:br/>
        <w:t xml:space="preserve">Having regard to the complete notification file sent to the mergers department on March 27, 2026,  </w:t>
        <w:br/>
        <w:t xml:space="preserve">concerning the exclusive control acquisition of the company Romon by Cooperative U, formalized by  </w:t>
        <w:br/>
        <w:t xml:space="preserve">a letter of intent dated March 25, 2026;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Cooperative U of exclusive control of the  </w:t>
        <w:br/>
        <w:t xml:space="preserve">company Romon, operator of a store under the Super U brand located in  </w:t>
        <w:br/>
        <w:t xml:space="preserve">Hérouville-Saint-Clair (14), with a sales area of 2,500 m², including an attached drive.  </w:t>
        <w:br/>
        <w:t xml:space="preserve">The operation constitutes a concentration within the meaning of Article L. 430-1 of the Commercial Code.  </w:t>
        <w:br/>
        <w:t xml:space="preserve">Given the turnover achieved by the companies concerned, the operation does not fall  </w:t>
        <w:br/>
        <w:t xml:space="preserve">under the jurisdiction of the European Union. On the other hand, the control thresholds mentioned  </w:t>
        <w:br/>
        <w:t xml:space="preserve">in II of Article L. 430-2 of the Commercial Code are exceeded. This operation is therefore  </w:t>
        <w:br/>
        <w:t xml:space="preserve">subject to the provisions of Articles L. 430-3 and following of the Commercial Code relating to  </w:t>
        <w:br/>
        <w:t xml:space="preserve">economic concentration.  </w:t>
        <w:br/>
        <w:t xml:space="preserve">2. In light of the elements of the file, the operation is not likely to harm competition  </w:t>
        <w:br/>
        <w:t xml:space="preserve">in the relevant markets.  </w:t>
        <w:br/>
        <w:t xml:space="preserve">1 The acquisition also entails the acquisition of exclusive control of the company Clairdis, owner of the business  </w:t>
        <w:br/>
        <w:t>assets of the target store, and of the company Agaca, owner of the operating real estate of the target store.</w:t>
      </w:r>
    </w:p>
    <w:p>
      <w:r>
        <w:t xml:space="preserve">DECIDES  </w:t>
        <w:br/>
        <w:t xml:space="preserve">Sole Article: The operation notified under number 26-084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