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https://www.autoritedelaconcurrence.fr/fr/decision-de-controle-des-concentrations/relative-la-prise-de-controle-exclusif-de-la-societe-rossi</w:t>
      </w:r>
    </w:p>
    <w:p>
      <w:r>
        <w:t>Pages translated : 2</w:t>
      </w:r>
    </w:p>
    <w:p/>
    <w:p>
      <w:r>
        <w:rPr>
          <w:b/>
        </w:rPr>
        <w:t>[Pages 1–2]</w:t>
      </w:r>
    </w:p>
    <w:p>
      <w:r>
        <w:t xml:space="preserve">FRENCH REPUBLIC  </w:t>
        <w:br/>
        <w:t xml:space="preserve">Decision No. 19-DCC-35 of March 1, 2019  </w:t>
        <w:br/>
        <w:t xml:space="preserve">regarding the exclusive control acquisition  </w:t>
        <w:br/>
        <w:t xml:space="preserve">of the company Rossi Carburants by the company M-Energy  </w:t>
        <w:br/>
        <w:t xml:space="preserve">The Competition Authority,  </w:t>
        <w:br/>
        <w:t xml:space="preserve">Having regard to the notification file sent to the mergers department on January 15, 2019, declared  </w:t>
        <w:br/>
        <w:t xml:space="preserve">complete on February 12, 2019, concerning the exclusive control acquisition of the company Rossi Carburants  </w:t>
        <w:br/>
        <w:t xml:space="preserve">by the company M-Energy, formalized by a transfer protocol dated December 26,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Rossi Carburants by  </w:t>
        <w:br/>
        <w:t xml:space="preserve">the company M-Energy. It constitutes a concentration within the meaning of Article L. 430-1 of the Commercial Code.  </w:t>
        <w:br/>
        <w:t xml:space="preserve">Given the turnover achieved by the concerned companies, the notification thresholds of Article 1 paragraph 2 of Regulation (EC) 139/2004 are exceeded, but since each of the concerned companies generates more than two-thirds of its turnover within the Union in France,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those of the sale of petroleum products off-network wholesale (market where the customers are large retailers, independent oil operators, and traders) and the sale of petroleum products off-network retail (market where the customers are transport companies, industry, car rental agencies, etc.) which are consistently defined by the decision-making practice of the Competition Authority.  </w:t>
        <w:br/>
        <w:t xml:space="preserve">3. Regardless of the segmentations retained, the combined market shares of the parties are below 25% when their activities overlap in the same market and 30% in upstream, downstream, or related markets.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19-009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