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https://www.autoritedelaconcurrence.fr/fr/decision-de-controle-des-concentrations/relative-la-prise-de-controle-exclusif-de-la-societe-rp</w:t>
      </w:r>
    </w:p>
    <w:p>
      <w:r>
        <w:t>Pages translated : 6</w:t>
      </w:r>
    </w:p>
    <w:p/>
    <w:p>
      <w:r>
        <w:rPr>
          <w:b/>
        </w:rPr>
        <w:t>[Pages 1–3]</w:t>
      </w:r>
    </w:p>
    <w:p>
      <w:r>
        <w:t xml:space="preserve">FRENCH REPUBLIC  </w:t>
        <w:br/>
        <w:t xml:space="preserve">Decision No. 12-DCC-184 of December 27, 2012  </w:t>
        <w:br/>
        <w:t xml:space="preserve">regarding the exclusive control of RP Diffusion  </w:t>
        <w:br/>
        <w:t>by Financière de Plouguiel</w:t>
      </w:r>
    </w:p>
    <w:p>
      <w:r>
        <w:t xml:space="preserve">The Competition Authority,  </w:t>
        <w:br/>
        <w:t xml:space="preserve">Having regard to the notification file submitted in full to the merger service on November 22, 2012, concerning the acquisition by Financière de Plouguiel of the entire capital of RP Diffusion;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Banque Fédérative du Crédit Mutuel (hereinafter "BFCM") is the holding company of the Crédit Mutuel Centre Est Europe group (hereinafter "CMCEE"): it is 94.56% owned by the Caisse Fédérale de Crédit Mutuel. The latter is itself owned by the Caisses de Crédit Mutuel and by the Crédit Mutuel insurance company. BFCM is notably the acquisition vehicle for external growth and diversification operations of the group. BFCM carries out most of its activities in the banking and insurance markets.</w:t>
      </w:r>
    </w:p>
    <w:p>
      <w:r>
        <w:t xml:space="preserve">Financière de Plouguiel is a simplified joint-stock holding company that holds 100% of the capital of Carpentras Sign SAS (hereinafter "Carpentras"), which is active in the office supplies and stationery sector. Financière de Plouguiel is controlled, via CM-CIC Investissement, by BFCM. CM-CIC Investissement also holds a controlling interest in T3L Holding SAS (hereinafter "T3L"), which is also active in the manufacture of office supplies.  </w:t>
        <w:br/>
        <w:t>* Correction of material error.</w:t>
      </w:r>
    </w:p>
    <w:p>
      <w:r>
        <w:t>2. RP Diffusion is a simplified joint-stock company that is part of the distribution division of the British Imperial Tobacco Group PLC, through Altadis Distribution France. RP Diffusion is a general wholesaler that distributes office supplies, school supplies, stationery, as well as computer products and printing consumables.</w:t>
      </w:r>
    </w:p>
    <w:p>
      <w:r>
        <w:t>3. On November 5, 2012, the parties signed a share acquisition agreement whereby Financière de Plouguiel commits to acquiring all the shares comprising the capital of RP Diffusion. As it results in the exclusive control of RP Diffusion by Financière de Plouguiel, the notified transaction constitutes a concentration operation within the meaning of Article L. 430-1 of the Commercial Code.</w:t>
      </w:r>
    </w:p>
    <w:p>
      <w:r>
        <w:t>4. The companies concerned together achieve a total worldwide turnover of over 150 million euros (Caisse Fédérale du Crédit Mutuel: 32.618 billion euros in 2011, RP Diffusion: 51.15 million euros for the last financial year ending September 30, 2012). Each achieves a turnover in France exceeding 50 million euros (Caisse Fédérale du Crédit Mutuel: […] euros for the year 2011, RP Diffusion: […] euros for the last financial year ending September 30, 2012).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5. The companies RP Diffusion, Carpentras, and T3L are present in the office supplies and stationery sector. This sector involves several categories of upstream and downstream players, namely manufacturers, intermediaries, distributors (or resellers), and end customers:  </w:t>
        <w:br/>
        <w:t xml:space="preserve">Manufacturers (Carpentras, T3L)  </w:t>
        <w:br/>
        <w:t xml:space="preserve">Wholesalers  </w:t>
        <w:br/>
        <w:t xml:space="preserve">Purchasing centers  </w:t>
        <w:br/>
        <w:t xml:space="preserve">Specialized purchasing groups (RP Diffusion)  </w:t>
        <w:br/>
        <w:t xml:space="preserve">Retailers  </w:t>
        <w:br/>
        <w:t xml:space="preserve">Office supply stores  </w:t>
        <w:br/>
        <w:t xml:space="preserve">Mail order  </w:t>
        <w:br/>
        <w:t xml:space="preserve">Various  </w:t>
        <w:br/>
        <w:t xml:space="preserve">Supermarkets  </w:t>
        <w:br/>
        <w:t xml:space="preserve">Office specialists  </w:t>
        <w:br/>
        <w:t xml:space="preserve">Superstores  </w:t>
        <w:br/>
        <w:t>Consumer/User</w:t>
      </w:r>
    </w:p>
    <w:p>
      <w:r>
        <w:t>6. The parties to the operation are involved both upstream, as manufacturers of traditional office supplies (Carpentras and T3L) or buyers from the latter (RP Diffusion), and in the intermediate market, for the distribution of these products to distributors (RP Diffusion). However, they are not present in the downstream retail market.</w:t>
      </w:r>
    </w:p>
    <w:p>
      <w:r>
        <w:t xml:space="preserve">A. PRODUCT AND SERVICE MARKETS  </w:t>
        <w:br/>
        <w:t xml:space="preserve">1. UPSTREAM MARKETS FOR THE MANUFACTURE OF TRADITIONAL OFFICE SUPPLIES  </w:t>
        <w:br/>
        <w:t>7. Only the companies controlled by CM-CIC Investissement are active at the level of manufacturing office supplies. Indeed, T3L (brands Tarifold and 3 L) is a manufacturer primarily present in the segments of pouches, presentation systems, and self-adhesive elements. Carpentras is not a manufacturer in the strict sense as its activity in this field is limited to: i) having office supplies and stationery products manufactured and distributed under its own brands; ii) importing and exclusively marketing certain brands of office supplies and stationery products; and iii) having certain office supply products manufactured by third-party companies that are distributed under private label. However, the Commission has considered in this sector that the distribution by a company, under its own brand, of products manufactured by third parties falls under the activity of manufacturing office supplies. Carpentras can therefore be considered as a manufacturer.</w:t>
      </w:r>
    </w:p>
    <w:p>
      <w:r>
        <w:t>8. In the sector of equipment for professionals, national decision-making practice considers that, since producers cannot easily convert to manufacturing products other than their own, it is appropriate to distinguish as many markets as there are families of products, notably a market for office supplies and stationery items.</w:t>
      </w:r>
    </w:p>
    <w:p>
      <w:r>
        <w:t>9. Within this latter market, the European Commission has considered, while leaving the question open, the existence of markets for the manufacture of envelopes, the manufacture of filing products, and the manufacture of notepads. French authorities have also considered the existence of a market for the manufacture of calendars.</w:t>
      </w:r>
    </w:p>
    <w:p>
      <w:r>
        <w:t xml:space="preserve">10. However, it is not necessary to precisely segment these different markets insofar as, regardless of the delineation of the families of products retained, the conclusions of the competitive analysis will remain unchanged.  </w:t>
        <w:br/>
        <w:t xml:space="preserve">1 Decision COMP/M.6382 – UNIPAPEL/SPICERS of December 20, 2011.  </w:t>
        <w:br/>
        <w:t xml:space="preserve">2 See in particular decisions No. 09-DCC-26 of July 24, 2009, and 10-DCC-68 of July 9, 2010, and the letter from the minister dated December 10, 2002, regarding the SACI/Beils operation.  </w:t>
        <w:br/>
        <w:t xml:space="preserve">3 Decision COMP/M.6382 – UNIPAPEL/SPICERS of December 20, 2011.  </w:t>
        <w:br/>
        <w:t xml:space="preserve">4 Letter from the Minister of Economy, Finance and Industry dated February 21, 2003, to the board of the company Editions Quo Vadis, regarding a concentration in the stationery sector.  </w:t>
        <w:br/>
        <w:t>* Correction of material error.</w:t>
      </w:r>
    </w:p>
    <w:p>
      <w:r>
        <w:rPr>
          <w:b/>
        </w:rPr>
        <w:t>[Pages 4–6]</w:t>
      </w:r>
    </w:p>
    <w:p>
      <w:r>
        <w:t>2. INTERMEDIATE MARKETS FOR WHOLESALE DISTRIBUTION OF OFFICE SUPPLIES</w:t>
      </w:r>
    </w:p>
    <w:p>
      <w:r>
        <w:t>11. The European Commission has distinguished three markets within the wholesale distribution of office supplies: i) the wholesale distribution of traditional office supplies, which includes traditional office items and stationery products (pencils, pens, notepads, filing products, office paper, folders, etc.), electronic office supplies (such as data storage products), as well as basic office furniture (chairs, desks, etc.); ii) the wholesale distribution of IT products, which includes computers, printers, scanners, etc.; and iii) the wholesale distribution of printing consumables (notably ink cartridges), which is common to wholesalers of traditional office supplies and wholesalers of IT products.</w:t>
      </w:r>
    </w:p>
    <w:p>
      <w:r>
        <w:t>12. As a general wholesaler, RP Diffusion primarily distributes traditional office supplies, and, to a lesser extent, IT products and printing consumables.</w:t>
      </w:r>
    </w:p>
    <w:p>
      <w:r>
        <w:t>13. Regarding the wholesale distribution of traditional office supplies, sub-segmentations have been considered based on the distribution channel (retailers, office supply specialists, superstores, and mail order…) and the typology of suppliers. For the latter, the following can be distinguished: i) wholesalers who primarily sell to specialist office supply distributors, as well as to stationery retailers; ii) specialized purchasing groups, which cater to retail members in stationery or office supply specialties; iii) and purchasing centers of large retail chains. In this case, the notifying party admits that it is relevant to exclude purchasing centers of large retail chains from the relevant market, which constitute a distribution channel separate from other intermediaries. However, it believes that the subdivision between traditional wholesalers and specialized purchasing groups does not correspond to any economic reality.</w:t>
      </w:r>
    </w:p>
    <w:p>
      <w:r>
        <w:t>14. Furthermore, without including manufacturers in the supply on the intermediate markets for the distribution of office supplies, the Commission considered it appropriate to take into account, in the competitive analysis, the competitive pressure exerted by manufacturers. Indeed, it emerges from the UFIPA study that direct sales from manufacturers to various resellers (office supply specialists, retailers, mail order, superstores…) account for 60.5% of their production. It could therefore be considered to include manufacturers in the intermediate market. In such a hypothesis, Carpentras, T3L, and RP Diffusion would all be active in the segment of wholesale distribution of traditional office supplies.</w:t>
      </w:r>
    </w:p>
    <w:p>
      <w:r>
        <w:t>15. In this case, the question of the precise delineation of the intermediate markets can, however, be left open insofar as, regardless of the hypothesis retained, the conclusions of the competitive analysis will remain unchanged.</w:t>
      </w:r>
    </w:p>
    <w:p>
      <w:r>
        <w:t>B. GEOGRAPHICAL MARKETS</w:t>
      </w:r>
    </w:p>
    <w:p>
      <w:r>
        <w:t>16. European and national decision-making practice has considered that the markets for the manufacture and wholesale sale of office supplies are of national dimension.</w:t>
      </w:r>
    </w:p>
    <w:p>
      <w:r>
        <w:t>17. There is no reason to challenge these delineations in the context of the present operation.</w:t>
      </w:r>
    </w:p>
    <w:p>
      <w:r>
        <w:t>III. Competitive Analysis</w:t>
      </w:r>
    </w:p>
    <w:p>
      <w:r>
        <w:t>A. HORIZONTAL EFFECTS</w:t>
      </w:r>
    </w:p>
    <w:p>
      <w:r>
        <w:t>18. The notifying party considers that the operation does not result in a horizontal effect, due to the positioning of the parties to the operation in the value chain. Indeed, Carpentras and T3L are active in the market for the manufacture of office supplies while the target, RP Diffusion, is present in the distribution markets.</w:t>
      </w:r>
    </w:p>
    <w:p>
      <w:r>
        <w:t>19. However, and as previously indicated, a horizontal overlap in a potential intermediate market for sales, by manufacturers and wholesalers, to resellers cannot be excluded. In such a hypothesis, the market share of the parties following the operation would be below [0-5]% in a global market for wholesale traditional office supplies. This market share would rise to [10-20]% if the market were segmented based on the typology of suppliers (the market for distribution by wholesalers including manufacturers). Several strong competitors are present in this market such as manufacturers Clairefontaine, BIC, or Pilot and distributors Sacfom or Spicers.</w:t>
      </w:r>
    </w:p>
    <w:p>
      <w:r>
        <w:t>20. Therefore, the operation is not likely to harm competition in the market for the sale of office supplies to resellers.</w:t>
      </w:r>
    </w:p>
    <w:p>
      <w:r>
        <w:t>B. VERTICAL EFFECTS</w:t>
      </w:r>
    </w:p>
    <w:p>
      <w:r>
        <w:t>21. A vertical concentration can restrict competition by making access to the markets in which the new entity will be active more difficult, or even potentially driving competitors out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w:t>
      </w:r>
    </w:p>
    <w:p>
      <w:r>
        <w:t>22. The decision-making practice of competition authorities generally dismisses these lock-in risks when the market share of the entity resulting from the operation in the relevant markets does not exceed 30%.</w:t>
      </w:r>
    </w:p>
    <w:p>
      <w:r>
        <w:t>23. However, in the overall upstream market for the manufacture of office supplies, the combined market share of Carpentras and T3L is around [0-5]%. In the case of a sub-segmentation of the market by products, Carpentras and T3L represent less than [0-5]% of sales in each of the segments considered (the maximum being [0-5]% for "office and school" materials). In the segment of sales from manufacturers to wholesalers, the combined market share of Carpentras and T3L is [0-5]%.</w:t>
      </w:r>
    </w:p>
    <w:p>
      <w:r>
        <w:t>24. In the intermediate market, RP Diffusion holds a market share of [10-20]% in the overall market and [20-30]% in the segment of distribution by wholesalers alone, with the market leader being Spicers ([70-80]%).</w:t>
      </w:r>
    </w:p>
    <w:p>
      <w:r>
        <w:t>25. Therefore, the operation is not likely to harm competition through vertical effects in the relevant markets.</w:t>
      </w:r>
    </w:p>
    <w:p>
      <w:r>
        <w:t>DECIDES</w:t>
      </w:r>
    </w:p>
    <w:p>
      <w:r>
        <w:t>Sole Article: The operation notified under number 12-191 is authorized.</w:t>
      </w:r>
    </w:p>
    <w:p>
      <w:r>
        <w:t>The Vice-President,</w:t>
        <w:br/>
        <w:t>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