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https://www.autoritedelaconcurrence.fr/fr/decision-de-controle-des-concentrations/relative-la-prise-de-controle-exclusif-de-la-societe-rue-du</w:t>
      </w:r>
    </w:p>
    <w:p>
      <w:r>
        <w:t>Pages translated : 4</w:t>
      </w:r>
    </w:p>
    <w:p/>
    <w:p>
      <w:r>
        <w:rPr>
          <w:b/>
        </w:rPr>
        <w:t>[Pages 1–3]</w:t>
      </w:r>
    </w:p>
    <w:p>
      <w:r>
        <w:t>FRENCH REPUBLIC</w:t>
        <w:br/>
        <w:t>Decision No. 11-DCC-182 of December 2, 2011</w:t>
        <w:br/>
        <w:t>regarding the exclusive control of the company Rue du Commerce</w:t>
        <w:br/>
        <w:t>by the company Altarea</w:t>
        <w:br/>
        <w:t>The Competition Authority,</w:t>
        <w:br/>
        <w:t>Having regard to the notification file submitted in full to the merger service on</w:t>
        <w:br/>
        <w:t>November 4, 2011, concerning the exclusive control of Rue du Commerce by the company</w:t>
        <w:br/>
        <w:t>Altarea, formalized by a share transfer agreement, a contribution agreement for social rights,</w:t>
        <w:br/>
        <w:t>and a shareholders' agreement dated October 27, 2011, as well as by a public tender offer</w:t>
        <w:br/>
        <w:t>announced on October 28, 2011;</w:t>
        <w:br/>
        <w:t>Having regard to Book IV of the Commercial Code relating to price and competition freedom, and</w:t>
        <w:br/>
        <w:t>notably its Articles L. 430-1 to L. 430-7;</w:t>
        <w:br/>
        <w:t>Having regard to the supplementary elements provided by the parties during the investigation;</w:t>
        <w:br/>
        <w:t>Adopts the following decision:</w:t>
        <w:br/>
        <w:t>I. The concerned companies and the operation</w:t>
        <w:br/>
        <w:t>1. Altarea is a limited partnership company listed on Euronext NYSE Paris, whose</w:t>
        <w:br/>
        <w:t>manager and main shareholder is Mr. Alain Taravella, directly and through the companies</w:t>
        <w:br/>
        <w:t>Alta Finance 2 and Alta Patrimoine. Altarea heads the Altarea Cogedim group, active in</w:t>
        <w:br/>
        <w:t>the sectors of residential real estate development, office space development, ownership and</w:t>
        <w:br/>
        <w:t>management for its own account of shopping centers, and management of shopping centers for</w:t>
        <w:br/>
        <w:t>third parties.</w:t>
        <w:br/>
        <w:t>2. Rue du Commerce (hereinafter "RDC") is a public limited company listed on Euronext NYSE</w:t>
        <w:br/>
        <w:t>Paris, currently held 11.8% by the Apax Funds, 8.3% by Mr. X, 8.6% by Mr. Y, 10.1% by</w:t>
        <w:br/>
        <w:t>Parinvest, 6.6% by Financière de l’Echiquier, 1.4% by other nominative shareholders, and</w:t>
        <w:br/>
        <w:t>53.3% in free float. RDC is primarily active in the online distribution of computer and consumer</w:t>
        <w:br/>
        <w:t>electronic products via the websites www.rueducommerce.com, www.topachat.com, and</w:t>
        <w:br/>
        <w:t>www.clust.com.</w:t>
        <w:br/>
        <w:t>3. The notified operation, formalized by a share transfer agreement, a contribution agreement for</w:t>
        <w:br/>
        <w:t>social rights, and a shareholders' agreement dated October 27, 2011, consists of the acquisition by</w:t>
        <w:br/>
        <w:t>Altarea, through its subsidiary Altacom, of 28.64% of the capital of RDC from the Apax Funds,</w:t>
        <w:br/>
        <w:t>Mr. X, and Mr. Y. Simultaneously, Altacom filed a public tender offer on October 27, 2011, for</w:t>
        <w:br/>
        <w:t>the remaining shares of RDC and publicly announced this offer on October 28, 2011.</w:t>
        <w:br/>
        <w:t>4. The shareholders' agreement concluded on October 27 between Altarea and Messrs. X and Y</w:t>
        <w:br/>
        <w:t>stipulates that the governance of RDC will be exercised by a board of directors composed of 9</w:t>
        <w:br/>
        <w:t>members, 7 of whom are proposed by Altarea (including Messrs. Y and X) and 2 independent</w:t>
        <w:br/>
        <w:t>directors. The board will adopt strategic decisions related to the company by a simple majority of</w:t>
        <w:br/>
        <w:t>the members without other shareholders holding a veto right. Altarea asserts that this agreement</w:t>
        <w:br/>
        <w:t>already grants it, through Altacom, exclusive control of RDC. However, this conclusion depends</w:t>
        <w:br/>
        <w:t>on Altacom's ability to implement the governance principles described in the shareholders'</w:t>
        <w:br/>
        <w:t>agreement in the event that its participation is limited to 28.64% of the capital.</w:t>
        <w:br/>
        <w:t>5. It should be noted at the outset that the sellers held not 28.64% but 44.32% of the voting rights</w:t>
        <w:br/>
        <w:t>within RDC considering the double voting rights attached to their shares. As a result, the analysis</w:t>
        <w:br/>
        <w:t>of the history of ordinary general meetings shows that the sellers represented [70-80]% of the votes</w:t>
        <w:br/>
        <w:t>cast at the general meeting of July 27, 2011, [70-80]% of the votes cast at the general meeting of</w:t>
        <w:br/>
        <w:t>July 29, 2010, and [60-70]% of the votes cast at the general meeting of September 22, 2009.</w:t>
        <w:br/>
        <w:t>These double voting rights are, however, not transferable. According to the data provided by the</w:t>
        <w:br/>
        <w:t>parties, without double voting rights, the sellers would still have had the majority of the votes cast</w:t>
        <w:br/>
        <w:t>at the general meetings of 2011 and 2010 ([60-70]% for that of July 27, 2011, and [60-70]% for</w:t>
        <w:br/>
        <w:t>that of July 29, 2010), but this was not the case in 2009, as the sellers only gathered [40-50]%</w:t>
        <w:br/>
        <w:t>of the votes cast at the general meeting of September 22, 2009.</w:t>
        <w:br/>
        <w:t>6. In any case, it is not necessary in this decision to rule on the controlling nature of the minority</w:t>
        <w:br/>
        <w:t>participation acquired by Altarea under the transfer and contribution agreements of October 27,</w:t>
        <w:br/>
        <w:t>2011, as the notified operation also concerns the acquisition of all the shares of RDC through a</w:t>
        <w:br/>
        <w:t>public tender offer for which a draft information note was submitted to the Financial Markets</w:t>
        <w:br/>
        <w:t>Authority (AMF) on October 27, 2011, and which was publicly announced the following day. The</w:t>
        <w:br/>
        <w:t>operation therefore constitutes a concentration within the meaning of Article L. 430-1 of the</w:t>
        <w:br/>
        <w:t>Commercial Code.</w:t>
        <w:br/>
        <w:t>7. The concerned companies together achieved a consolidated turnover excluding taxes worldwide</w:t>
        <w:br/>
        <w:t>of more than 150 million euros in the last closed financial year (Altarea Cogedim: 863.53 million</w:t>
        <w:br/>
        <w:t>euros for the financial year ending December 31, 2010; RDC: 321.45 million euros for the financial</w:t>
        <w:br/>
        <w:t>year ending March 31, 2011). Each of these companies achieved, in France, a turnover exceeding 50</w:t>
        <w:br/>
        <w:t>million euros (Altarea Cogedim: 830.59 million euros for the financial year ending December 31,</w:t>
        <w:br/>
        <w:t>2010; RDC: 307.3 million euros for the financial year ending March 31, 2011). Given these</w:t>
        <w:br/>
        <w:t>turnover figures, the operation does not have a community dimension. On the other hand, the control</w:t>
        <w:br/>
        <w:t>thresholds mentioned in I of Article L. 430-2 of the Commercial Code are exceeded. This operation</w:t>
        <w:br/>
        <w:t>is therefore subject to the provisions of Articles L. 430-3 and following of the Commercial Code</w:t>
        <w:br/>
        <w:t>relating to economic concentration.</w:t>
      </w:r>
    </w:p>
    <w:p>
      <w:r>
        <w:t>II. Delimitation of Relevant Markets</w:t>
        <w:br/>
        <w:t>8. The Altarea Cogedim and RDC groups are not simultaneously present in any sector.</w:t>
        <w:br/>
        <w:t>9. Altarea is active in the real estate services markets. In this sector, national1 and European2</w:t>
        <w:br/>
        <w:t>decision-making practice has considered, while leaving the question open, different segmentations</w:t>
        <w:br/>
        <w:t>according to (i) the recipients of the services (individuals or businesses), (ii) the pricing method</w:t>
        <w:br/>
        <w:t>(free residential real estate and social or intermediate assisted housing), (iii) the type of activity</w:t>
        <w:br/>
        <w:t>conducted in the premises (offices, commercial premises, and other activity premises), and (iv) the</w:t>
        <w:br/>
        <w:t>nature of the services or goods offered (which can also be segmented3). At the geographical level,</w:t>
        <w:br/>
        <w:t>European4 and national5 decision-making practice has analyzed the effects on competition in national</w:t>
        <w:br/>
        <w:t>or sub-national markets.</w:t>
        <w:br/>
        <w:t>10. RDC is essentially active in the online distribution of computer and consumer electronic products.</w:t>
        <w:br/>
        <w:t>In the non-food product distribution sector, competition authorities distinguish as many markets as</w:t>
        <w:br/>
        <w:t>there are families of products6. Regarding the household appliances on which RDC is active, the</w:t>
        <w:br/>
        <w:t>competition authorities distinguish between white, brown, and grey goods7. Similarly, the competition</w:t>
        <w:br/>
        <w:t>authorities make a distinction based on the distribution channel by retaining a market for the</w:t>
        <w:br/>
        <w:t>distance selling of non-food products8. Distance selling markets are of national dimension.</w:t>
        <w:br/>
        <w:t>11. RDC also has a platform for generalist and free classified ads according to the CtoC model.</w:t>
        <w:br/>
        <w:t>However, in this sector, competition authorities have already identified markets for the sale of online</w:t>
        <w:br/>
        <w:t>classified ad spaces and distinguish between real estate ads, job offers, automotive ads, and boat</w:t>
        <w:br/>
        <w:t>ads9. Regarding online classified ads, the markets are of national dimension.</w:t>
        <w:br/>
        <w:t>12. RDC is also active in the sale of online advertising spaces. Competition authorities distinguish</w:t>
        <w:br/>
        <w:t>between the provision of online advertising spaces and the provision of offline advertising spaces10, with</w:t>
        <w:br/>
        <w:t>a distinction possible between search-related advertising and non-search-related advertising11. The</w:t>
        <w:br/>
        <w:t>markets for the sale of online advertising spaces are of national dimension.</w:t>
        <w:br/>
        <w:t>1 See notably the decision of the Competition Authority No. 10-DCC-112 of September 17, 2010, regarding the joint control by</w:t>
        <w:br/>
        <w:t>Prédica and Altarea of the company Alta Marigny Carré de Soie; the decision of the Competition Authority No. 10-DCC-13 of January 29,</w:t>
        <w:br/>
        <w:t>2010, regarding the exclusive control by Icade S.A. of Compagnie la Lucette S.A, and the letter from the Minister of Economy, Industry</w:t>
        <w:br/>
        <w:t>and Employment C2008-49 of July 9, 2008, to the board of the company Sofade, regarding a concentration in the real estate sector.</w:t>
        <w:br/>
        <w:t>2 See notably the decision of the European Commission COMP/M.3370, BNP Paribas / ARI, of March 9, 2004.</w:t>
        <w:br/>
        <w:t>3 See notably the decisions of the Competition Authority 10-DCC-112 and 10-DCC-13 mentioned above.</w:t>
        <w:br/>
        <w:t>4 See the decision of the European Commission COMP/M.3370 mentioned above.</w:t>
        <w:br/>
        <w:t>5 See notably the letter from the Minister of Economy, Finance and Industry C2008-1 mentioned above.</w:t>
        <w:br/>
        <w:t>6 See notably the decision of the Authority No. 10-DCC-42 of May 25, 2010, regarding the acquisition by the company 3 Suisses</w:t>
        <w:br/>
        <w:t>International of certain assets of the company La Source.</w:t>
        <w:br/>
        <w:t>7 See notably the decision of the Authority 11-DCC-87 of June 10, 2011, regarding the exclusive control of the company Media</w:t>
        <w:br/>
        <w:t>Concorde by HTM group.</w:t>
        <w:br/>
        <w:t>8 Decision 10-DCC-42 mentioned above.</w:t>
        <w:br/>
        <w:t>9 Letter C2007-19; C2007-127, Decision 10-DCC-152</w:t>
        <w:br/>
        <w:t>10 COMP/M.4731</w:t>
        <w:br/>
        <w:t>11 Opinion No. 10-A-29 of December 14, 2010, on the competitive functioning of online advertising.</w:t>
      </w:r>
    </w:p>
    <w:p>
      <w:r>
        <w:rPr>
          <w:b/>
        </w:rPr>
        <w:t>[Pages 4–4]</w:t>
      </w:r>
    </w:p>
    <w:p>
      <w:r>
        <w:t xml:space="preserve">13. In any case, the precise definitions of the markets may be left open insofar as, regardless of the definitions adopted, the conclusions of the competitive analysis will remain unchanged.  </w:t>
        <w:br/>
        <w:t xml:space="preserve">III. Competitive Analysis  </w:t>
        <w:br/>
        <w:t xml:space="preserve">14. Altarea is not active in the markets described above and does not hold any controlling interest, directly or indirectly, in companies present in the same sector of activity as RDC or in markets located upstream, downstream, or related to the concerned market. There is therefore no a priori horizontal overlap of activities and no vertical integration.  </w:t>
        <w:br/>
        <w:t xml:space="preserve">15. Regarding potential conglomerate effects, ongoing developments in the concerned markets (notably the growth of multi-channel sales, pick-up points, web to shop12...) suggest the emergence of connections between online commerce and physical points of sale. However, RDC's market shares in the online distribution of computer and consumer electronic products ([10-20]%) and Altarea's shares in the ownership and management of shopping centers in France ([0-5]%) are such as to eliminate any risk of leverage effect related to the simultaneous presence of the new entity in these markets. The operation is therefore not likely to result in conglomerate effects.  </w:t>
        <w:br/>
        <w:t xml:space="preserve">16. In light of these elements, the operation is not likely to harm competition.  </w:t>
        <w:br/>
        <w:t xml:space="preserve">DECIDES  </w:t>
        <w:br/>
        <w:t xml:space="preserve">Sole Article: The operation notified under number 11-0205 is authorized.  </w:t>
        <w:br/>
        <w:t xml:space="preserve">The President,  </w:t>
        <w:br/>
        <w:t xml:space="preserve">Bruno Lasserre  </w:t>
        <w:br/>
        <w:t xml:space="preserve">Competition Authority  </w:t>
        <w:br/>
        <w:t>12 A set of marketing tools to direct internet users to physical points of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