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https://www.autoritedelaconcurrence.fr/fr/decision-de-controle-des-concentrations/relative-la-prise-de-controle-exclusif-de-la-societe-rydge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25-DCC-29 of February 17, 2025</w:t>
        <w:br/>
        <w:t>regarding the exclusive control acquisition of the company Rydge Conseil by</w:t>
        <w:br/>
        <w:t>the company TowerBrook Capital Partners</w:t>
        <w:br/>
        <w:t>The Competition Authority,</w:t>
        <w:br/>
        <w:t>Having regard to the complete notification file submitted to the mergers department on January 30, 2025,</w:t>
        <w:br/>
        <w:t>concerning the exclusive control acquisition of the company Rydge Conseil by the company TowerBrook</w:t>
        <w:br/>
        <w:t>Capital Partners formalized by a purchase agreement signed on December 19, 2024;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by the company King Holdings 3, ultimately</w:t>
        <w:br/>
        <w:t>controlled by the company TowerBrook Capital Partners, of the company Rydge Conseil and</w:t>
        <w:br/>
        <w:t>all of its subsidiaries, which are notably active in the field of audit and accounting services. The operation constitutes a concentration within the meaning of Article L. 430-1 of the Commercial Code. Given the turnover achieved by the companies concerned,</w:t>
        <w:br/>
        <w:t>the operation does not fall under the jurisdiction of the European Union. On the other hand, the control thresholds mentioned in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25-024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