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https://www.autoritedelaconcurrence.fr/fr/decision-de-controle-des-concentrations/relative-la-prise-de-controle-exclusif-de-la-societe-sa-0</w:t>
      </w:r>
    </w:p>
    <w:p>
      <w:r>
        <w:t>Pages translated : 5</w:t>
      </w:r>
    </w:p>
    <w:p/>
    <w:p>
      <w:r>
        <w:rPr>
          <w:b/>
        </w:rPr>
        <w:t>[Pages 1–3]</w:t>
      </w:r>
    </w:p>
    <w:p>
      <w:r>
        <w:t xml:space="preserve">FRENCH REPUBLIC  </w:t>
        <w:br/>
        <w:t xml:space="preserve">Decision No. 10-DCC-55 of June 14, 2010  </w:t>
        <w:br/>
        <w:t>regarding the exclusive control of the company SA Frenil Distribution by the company Distribution Casino France (Casino Guichard Perrachon group)</w:t>
      </w:r>
    </w:p>
    <w:p>
      <w:r>
        <w:t xml:space="preserve">The Competition Authority,  </w:t>
        <w:br/>
        <w:t xml:space="preserve">Having regard to the notification file submitted in full to the merger service on May 10, 2010, regarding the exclusive control of the company Frenil Distribution by the company Distribution Casino France, formalized by a share transfer agreement concluded by the parties on April 28, 2010;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The company Distribution Casino France is a subsidiary of the Casino Guichard Perrachon group, the third largest French player in food-oriented distribution. The Casino group manages a network of over 10,000 stores (hypermarkets, supermarkets, convenience stores, discount stores, etc.) under the brands Casino, Franprix, Spar, Vival, Naturalia, and Leader Price. The Casino group also holds [&gt;50]% of the Monoprix group. It is also present in the online distribution sector of non-food products with the brand Cdiscount. The Casino group is controlled directly and indirectly by the company Euris, which is itself controlled by Mr. Jean-Charles Naouri. Its total worldwide turnover excluding taxes in 2009, the last closed fiscal year, amounted to [20-30] billion euros, of which [15-25] billion euros in France.  </w:t>
        <w:br/>
        <w:t xml:space="preserve">2. The company Frenil Distribution is a public limited company whose capital is predominantly held by Michel Dunoyer and the civil company Holding du Manoir. Its main purpose is the operation of a food-oriented business in the municipality of Saint Pierre Sur Dives in Calvados (14), currently operated under the brand "Intermarché" pursuant to a franchise agreement concluded with the company ITM Enterprises, a contract that was terminated on December 31, 2009, effective July 1, 2010. The company Frenil Distribution achieved in 2009, the last closed fiscal year, a total worldwide turnover excluding taxes of [15-25] million euros, exclusively realized in France.  </w:t>
        <w:br/>
        <w:t xml:space="preserve">3. On April 28, 2010, the company Distribution Casino France and the shareholders of the company Frenil Distribution signed a transfer agreement, for the benefit of the former, of almost all the share capital of the company Frenil Distribution, with the exception of the ordinary share held by the company ITM Entreprises. On the same day, the parties signed a transfer agreement for all the shares of the real estate civil company Du Numéro 11 De La Rue Fresnil, this company being notably the owner of the building in which the aforementioned business is operated.  </w:t>
        <w:br/>
        <w:t>4. Following the operation, the company Distribution Casino France will hold exclusive control of the company Frenil Distribution and the store in Saint Pierre Sur Dives, which it will operate under one of the Casino group's brands. The notified operation constitutes a concentration within the meaning of Article L.430-1 of the Commercial Code. Given the turnover of the concerned companies,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5. According to the consistent practice of national and community competition authorities, two categories of markets can be delineated in the food-oriented distribution sector. These are, on the one hand, the "downstream" markets, of local dimension, which bring together retail companies and consumers for the sale of consumer goods and, on the other hand, the "upstream" markets for supplying retail companies with everyday consumer goods, of national dimension.  </w:t>
        <w:br/>
        <w:t xml:space="preserve">1 The company ITM Entreprises, which leads and animates the network of independent merchants known as the "Groupement des Mousquetaires" and notably holds the Intermarché brand, possesses an ordinary share in the capital of the company Frenil Distribution, a share that does not confer any special rights.  </w:t>
        <w:br/>
        <w:t xml:space="preserve">2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see also the decisions of the Competition Authority No. 09-DCC-46 of September 28, 2009, and No. 09-DCC-80 of December 16, 2009;  </w:t>
        <w:br/>
        <w:t>3 Decisions of the Commission in the cases M.1221 Rewe/Meinl of February 3, 1999, M.1684 Carrefour/Promodès of January 25, 2000, and M.2115 Carrefour/GB of September 28, 2000. See also the decision C.2005-98 Carrefour/Penny Market of November 10, 2005.</w:t>
      </w:r>
    </w:p>
    <w:p>
      <w:r>
        <w:t xml:space="preserve">A. DOWNSTREAM MARKETS OF DISTRIBUTION  </w:t>
        <w:br/>
        <w:t xml:space="preserve">1. SERVICE MARKETS  </w:t>
        <w:br/>
        <w:t xml:space="preserve">6.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 order sales.  </w:t>
        <w:br/>
        <w:t xml:space="preserve">7. Hypermarkets are usually defined as predominantly food stores with a sales area exceeding 2500 m2. It should be noted, however, that these thresholds must be used with caution and may be adjusted to the specific case, stores whose area is near a threshold, either below or above, may find themselves in direct competition in practice.  </w:t>
        <w:br/>
        <w:t xml:space="preserve">8. In this case, the acquired store currently occupies a sales area of 2,731 m2. This store therefore falls into the category of hypermarkets.  </w:t>
        <w:br/>
        <w:t xml:space="preserve">2. GEOGRAPHICAL DELIMITATION  </w:t>
        <w:br/>
        <w:t xml:space="preserve">9. In its recent decisions regarding operations involving hypermarkets or supermarkets, the Competition Authority has recalled that depending on the size of the stores concerned, the conditions of competition should be assessed over two different areas:  </w:t>
        <w:br/>
        <w:t xml:space="preserve">- a first area where the demand from consumers in one area meets the supply of hypermarkets to which they have access within less than 30 minutes of travel by car and which are, from their point of view, substitutable for each other;  </w:t>
        <w:br/>
        <w:t xml:space="preserve">- a second area where the demand from consumers meets the supply of supermarkets and other equivalent forms of commerce, located within less than 15 minutes of travel by car. These latter forms of commerce may include, in addition to supermarkets, hypermarkets and discount stores.  </w:t>
        <w:br/>
        <w:t xml:space="preserve">10. Other criteria may nevertheless be taken into account to assess the impact of a concentration on the competitive situation in retail distribution markets, which may lead to refining, in the specific case, the usual delimitations presented above.  </w:t>
        <w:br/>
        <w:t>11. In this case, the store concerned by the operation occupying a sales area exceeding 2500 m2 and falling into the category of hypermarkets, the competitive analysis will focus on a first market including hypermarkets located within a 30-minute catchment area around Saint Pierre-Sur-Dives and on a second market, including all the...</w:t>
      </w:r>
    </w:p>
    <w:p>
      <w:r>
        <w:rPr>
          <w:b/>
        </w:rPr>
        <w:t>[Pages 4–5]</w:t>
      </w:r>
    </w:p>
    <w:p>
      <w:r>
        <w:t>hypermarkets, supermarkets, and discount stores located within a 15-minute catchment area around Saint Pierre-Sur-Dives.</w:t>
      </w:r>
    </w:p>
    <w:p>
      <w:r>
        <w:t>B. UPSTREAM SUPPLY MARKETS</w:t>
      </w:r>
    </w:p>
    <w:p>
      <w:r>
        <w:t>12. Regarding the supply markets, the European Commission7 has identified the existence of national dimension markets by major product groups, a delineation followed by national authorities8.</w:t>
      </w:r>
    </w:p>
    <w:p>
      <w:r>
        <w:t>13. There is no reason to challenge this delineation in the context of the present operation.</w:t>
      </w:r>
    </w:p>
    <w:p>
      <w:r>
        <w:t>III. Competitive Analysis</w:t>
      </w:r>
    </w:p>
    <w:p>
      <w:r>
        <w:t>1. DOWNSTREAM MARKETS OF FOOD-ORIENTED DISTRIBUTION</w:t>
      </w:r>
    </w:p>
    <w:p>
      <w:r>
        <w:t>14. On the first downstream market of food-oriented distribution, comprising all hypermarkets located within a 30-minute catchment area around Saint-Pierre-Sur-Dives, no hypermarket is operated under a Casino group brand prior to the operation. Therefore, this will not result in any addition of market shares.</w:t>
      </w:r>
    </w:p>
    <w:p>
      <w:r>
        <w:t>15. On the second downstream market of food-oriented distribution, comprising hypermarkets, supermarkets, and discount stores within a 15-minute driving distance around Saint-Pierre-Sur-Dives, the Casino group does not operate any hypermarket, supermarket, or discount store. Thus, there is also no addition of market shares.</w:t>
      </w:r>
    </w:p>
    <w:p>
      <w:r>
        <w:t>16. Consequently, the operation is not likely to harm competition in the considered markets.</w:t>
      </w:r>
    </w:p>
    <w:p>
      <w:r>
        <w:t>2. UPSTREAM SUPPLY MARKETS</w:t>
      </w:r>
    </w:p>
    <w:p>
      <w:r>
        <w:t>17. Regarding the upstream supply markets, the operation, which concerns only one store, is not likely to significantly strengthen the purchasing power of the Casino group.</w:t>
      </w:r>
    </w:p>
    <w:p>
      <w:r>
        <w:t>7 See the Commission decisions M.1684 Carrefour/Promodès of January 25, 2000, and M. 2115 Carrefour/GB of September 28, 2000.</w:t>
      </w:r>
    </w:p>
    <w:p>
      <w:r>
        <w:t>8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 also see the decisions of the Competition Authority No. 09-DCC-80 of December 16, 2009, and No. 09-DCC-46 of September 28, 2009.</w:t>
      </w:r>
    </w:p>
    <w:p>
      <w:r>
        <w:t>DECIDES</w:t>
      </w:r>
    </w:p>
    <w:p>
      <w:r>
        <w:t>Sole Article: The operation notified under number 10-0062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