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https://www.autoritedelaconcurrence.fr/fr/decision-de-controle-des-concentrations/relative-la-prise-de-controle-exclusif-de-la-societe-sa-1</w:t>
      </w:r>
    </w:p>
    <w:p>
      <w:r>
        <w:t>Pages translated : 5</w:t>
      </w:r>
    </w:p>
    <w:p/>
    <w:p>
      <w:r>
        <w:rPr>
          <w:b/>
        </w:rPr>
        <w:t>[Pages 1–3]</w:t>
      </w:r>
    </w:p>
    <w:p>
      <w:r>
        <w:t>FRENCH REPUBLIC</w:t>
        <w:br/>
        <w:t>Decision No. 10-DCC-89 of August 5, 2010</w:t>
        <w:br/>
        <w:t>regarding the exclusive control of the company SA Port Louis Distribution by the company ITM Entreprises</w:t>
        <w:br/>
        <w:t>The Competition Authority,</w:t>
        <w:br/>
        <w:t>Having regard to the notification file submitted in full to the merger service on July 7, 2010, concerning the acquisition of all the shares of the company SA Port Louis Distribution by the ITM Entreprises group, formalized by a transfer protocol dated June 22, 2010;</w:t>
        <w:br/>
        <w:t>Having regard to Book IV of the Commercial Code relating to price freedom and competition, and in particular its Articles L. 430-1 to L. 430-7;</w:t>
        <w:br/>
        <w:t>Adopts the following decision:</w:t>
        <w:br/>
        <w:t>I. The companies concerned and the operation</w:t>
        <w:br/>
        <w:t>1. The company ITM Entreprises, 100% controlled by the Société civile des Mousquetaires, itself held by 1,330 natural persons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br/>
        <w:t>2. The company ITM Alimentaire Ouest is a French company held at [&gt;50]% by the company ITM Alimentaires France, which is itself held by the company ITM Entreprises. ITM Entreprises has entrusted ITM Alimentaires Ouest with the management and development of the franchise network operating under the brands Intermarché, Ecomarché, and Netto in the western region of France.</w:t>
      </w:r>
    </w:p>
    <w:p>
      <w:r>
        <w:t>3. The company ITM Alimentaires Ouest and the ITM Entreprises group to which it belongs achieved, during the fiscal year ending December 31, 2009, a worldwide turnover excluding taxes of [20-30] billion euros, of which [15-25] billion was in France.</w:t>
        <w:br/>
        <w:t>4. The company Port Louis Distribution is a French public limited company that operates a food-dominant retail outlet under the Intermarché brand in Riantec (56). The shares of Port Louis Distribution are held at [&gt;50]% by Mr. and Mrs. X and their children. Port Louis Distribution is linked to ITM Entreprises by a brand contract concluded on April 7, 2004. Furthermore, Mr. and Mrs. X are signatories of the membership charter of the "Groupement des Mousquetaires." The company ITM Entreprises holds one share in the capital of Port Louis Distribution which, according to the company's statutes updated on December 19, 2003, does not confer any special rights. Port Louis Distribution achieved, during the last fiscal year ending December 31, 2009, a turnover excluding taxes of [&gt;15] million euros.</w:t>
        <w:br/>
        <w:t>5. The notified operation, formalized by a transfer protocol dated June 22, 2010, consists of the acquisition of all the shares of Port Louis Distribution by the ITM Entreprises group, via the company ITM Alimentaire Ouest.</w:t>
        <w:br/>
        <w:t>6. Insofar as it results in the exclusive control of Port Louis Distribution by the ITM Entreprises group, the notified operation is indeed a concentration within the meaning of Article L. 430-1 of the Commercial Code. Given the turnover of the companies concerned, it does not have a community dimension. However, the control thresholds related to retail trade mentioned in point II of Article L.430-2 of the Commercial Code are exceeded. The present operation is therefore subject to the provisions of Articles L. 430-3 and following of the Commercial Code relating to economic concentration.</w:t>
        <w:br/>
        <w:t>II. Delimitation of relevant markets</w:t>
        <w:br/>
        <w:t>7. According to the consistent practice of national and community competition authorities1, two categories of markets can be delineated2 in the food-dominant distribution sector. These are, on the one hand, "downstream" markets, of local dimension, which bring together retail trade companies and consumers for the sale of consumer goods and, on the other hand, "upstream" markets for supplying retail trade companies with everyday consumer goods, of national dimension.</w:t>
        <w:br/>
        <w:t>1 See in particular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r>
    </w:p>
    <w:p>
      <w:r>
        <w:t>A. DOWNSTREAM DISTRIBUTION MARKETS</w:t>
        <w:br/>
        <w:t>1. SERVICE MARKETS</w:t>
        <w:br/>
        <w:t>8.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w:t>
        <w:br/>
        <w:t>9. Hypermarkets are usually defined as stores predominantly selling food with a legal sales area equal to or greater than 2,500 m².</w:t>
        <w:br/>
        <w:t>10. In this case, the store concerned by the operation currently occupies a sales area of 2,573 m², thus falling into the category of hypermarkets.</w:t>
        <w:br/>
        <w:t>2. GEOGRAPHICAL DELIMITATION</w:t>
        <w:br/>
        <w:t>11. In its recent decisions4 regarding operations involving hypermarkets or supermarkets, the Competition Authority has recalled that two types of markets are usually distinguished, based on catchment areas:</w:t>
        <w:br/>
        <w:t>- a first market where the demand from consumers in an area meets the supply of hypermarkets to which they have access within less than 30 minutes of travel by car and which are, from their point of view, substitutable for each other;</w:t>
        <w:br/>
        <w:t>- a second market where the demand from consumers meets the supply of supermarkets and equivalent forms of commerce located within less than 15 minutes of travel time by car. These latter forms of commerce may include, in addition to supermarkets, hypermarkets located close to consumers and discount stores.</w:t>
        <w:br/>
        <w:t>12. Other criteria may nevertheless be taken into account to assess the impact of a concentration on the competitive situation in retail distribution markets, which may lead to refining, in the specific case, the usual delimitations presented above.</w:t>
        <w:br/>
        <w:t>13. In a market including hypermarkets located within a 30-minute radius around Riantec, the activities of the parties do not overlap. The competitive analysis will therefore focus solely on the market including all hypermarkets, supermarkets, and discount stores located within a 15-minute radius around Riantec.</w:t>
        <w:br/>
        <w:t>3 Decisions C.2008-32 Amidis SAGC of July 9, 2008, C.2007-172 Carrefour Plane Plamidis of February 13, 2008, C.2007-154 Système UVergali of December 3, 2007, C 2007-05 Carrefour Sofodis of March 26, 2007, C.2006-15 Amidis Hamon of April 14, 2006, C.2005-98 Carrefour Penny Market of November 10, 2005.</w:t>
        <w:br/>
        <w:t>4 See in particular the decisions 09-DCC-24 of July 23, 2009 Floritine/CSF; 09-DCC-10 of May 28, 2009 Frandis/Financière Perdis; 09-DCC-06 of May 20, 2009 Evolis/ITM; 09-DCC-04 of April 29, 2009 Carrefour/Noukat.</w:t>
      </w:r>
    </w:p>
    <w:p>
      <w:r>
        <w:rPr>
          <w:b/>
        </w:rPr>
        <w:t>[Pages 4–5]</w:t>
      </w:r>
    </w:p>
    <w:p>
      <w:r>
        <w:t xml:space="preserve">B. UPSTREAM SUPPLY MARKETS  </w:t>
        <w:br/>
        <w:t xml:space="preserve">14. Regarding the supply markets, the European Commission5 has identified the existence of markets of national dimension by major product groups, a delineation followed by national authorities6.  </w:t>
        <w:br/>
        <w:t xml:space="preserve">15. There is no reason to challenge this delineation on the occasion of the present operation.  </w:t>
        <w:br/>
        <w:t xml:space="preserve">III. Competitive Analysis  </w:t>
        <w:br/>
        <w:t xml:space="preserve">A. DOWNSTREAM DISTRIBUTION MARKET  </w:t>
        <w:br/>
        <w:t xml:space="preserve">16. In the market comprising supermarkets and other equivalent forms of commerce, located within a 15-minute drive around Riantec, the Intermarché operated by the target represents 17% of the market share expressed in sales area (i.e., 2,573 m² out of a total area of 15,441 m²). Also present in the Riantec area are two Intermarché supermarkets located in Plouhinec and Merlevenez holding 11% and 8% of the market share, respectively, a discount store Netto located in Lanester holding 4% of the market share. The hypermarkets, supermarkets, and discount stores operated under the ITM Entreprises brand therefore represent, in the catchment area of 15 minutes around Riantec, a cumulative market share of 40%.  </w:t>
        <w:br/>
        <w:t xml:space="preserve">17. These stores face competition from a hypermarket under the Leclerc group brand holding 30% of the market share, a supermarket under the Casino group brand holding 6% of the market share, three discount stores under the LIDL brand holding a cumulative market share of 16%, a discount store under the Carrefour group brand holding 5% of the market share, and a supermarket under the U group brand holding 3% of the market share.  </w:t>
        <w:br/>
        <w:t xml:space="preserve">18. Furthermore, the notifying party indicated that the Leclerc group obtained on June 26, 2009, authorization to expand its hypermarket in the area from 4,600 m² to 5,050 m², that it also obtained on April 29, 2010, authorization from the CDAC to create a new retail outlet of 3,000 m², and that the Super U group obtained on February 16, 2010, authorization to create a new retail outlet of 2,500 m². These new openings and expansions of retail outlets will reduce the market share, calculated in sales area, of the new entity to 29%.  </w:t>
        <w:br/>
        <w:t xml:space="preserve">19. Consequently, the operation is not likely to harm competition in the markets concerned.  </w:t>
        <w:br/>
        <w:t xml:space="preserve">5 See the decisions of the Commission M.1684 Carrefour/Promodès of January 25, 2000, and M.2115 Carrefour/GB of September 28, 2000.  </w:t>
        <w:br/>
        <w:t xml:space="preserve">6 See in particular the decisions of the minister in the sector, C.2005-98 Carrefour/Penny Market of November 10, 2005, C02006-15 Carrefour/Groupe Hamon of April 14, 2006, C.2007-172 concerning the creation of the joint venture Plamidis of February 13, 2008, and C2008-32 Carrefour/SAGC of July 9, 2008.  </w:t>
        <w:br/>
        <w:t>4</w:t>
      </w:r>
    </w:p>
    <w:p>
      <w:r>
        <w:t xml:space="preserve">B. UPSTREAM SUPPLY MARKETS  </w:t>
        <w:br/>
        <w:t xml:space="preserve">20. Regarding the upstream supply markets, the operation, which concerns only one store, is not likely to significantly strengthen the purchasing power of the ITM Entreprises group, across all products as well as by major product groups.  </w:t>
        <w:br/>
        <w:t xml:space="preserve">21. Consequently, the operation is not likely to harm competition both in the downstream market and in the upstream supply market.  </w:t>
        <w:br/>
        <w:t xml:space="preserve">DECIDES  </w:t>
        <w:br/>
        <w:t xml:space="preserve">Sole Article: The operation notified under number 10-0100 is authorized.  </w:t>
        <w:br/>
        <w:t xml:space="preserve">The Vice-President,  </w:t>
        <w:br/>
        <w:t xml:space="preserve">Anne Perrot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