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w:t>
      </w:r>
    </w:p>
    <w:p>
      <w:r>
        <w:t>Pages translated : 5</w:t>
      </w:r>
    </w:p>
    <w:p/>
    <w:p>
      <w:r>
        <w:rPr>
          <w:b/>
        </w:rPr>
        <w:t>[Pages 1–3]</w:t>
      </w:r>
    </w:p>
    <w:p>
      <w:r>
        <w:t xml:space="preserve">FRENCH REPUBLIC  </w:t>
        <w:br/>
        <w:t xml:space="preserve">Decision No. 10-DCC-17 of February 25, 2010  </w:t>
        <w:br/>
        <w:t xml:space="preserve">regarding the exclusive control of the company SA Furmon  </w:t>
        <w:br/>
        <w:t xml:space="preserve">by the company ITM Alimentaire Nord (ITM Entreprises group)  </w:t>
        <w:br/>
        <w:t xml:space="preserve">The Competition Authority,  </w:t>
        <w:br/>
        <w:t xml:space="preserve">Having regard to the notification file submitted in full to the merger service on January 29, 2010,  </w:t>
        <w:br/>
        <w:t xml:space="preserve">regarding the acquisition of the company SA Furmon by the company ITM Alimentaire Nord,  </w:t>
        <w:br/>
        <w:t xml:space="preserve">formalized by a transfer protocol signed on December 18, 2009;  </w:t>
        <w:br/>
        <w:t xml:space="preserve">Having regard to Book IV of the Commercial Code relating to price freedom and competition, and  </w:t>
        <w:br/>
        <w:t xml:space="preserve">notably its Articles L. 430-1 to L. 430-7;  </w:t>
        <w:br/>
        <w:t xml:space="preserve">Adopts the following decision:  </w:t>
        <w:br/>
        <w:t xml:space="preserve">I. The companies concerned and the operation  </w:t>
        <w:br/>
        <w:t xml:space="preserve">A. THE COMPANIES CONCERNED  </w:t>
        <w:br/>
        <w:t xml:space="preserve">1. The company ITM Entreprises, 100% controlled by the Société civile des Mousquetaires,  </w:t>
        <w:br/>
        <w:t xml:space="preserve">itself held by 1,330 natural persons known as "associated members," manages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The company ITM Alimentaire Nord is a French law company held at [&gt;50]% by the company ITM Alimentaire France and at [&lt;50]% by the company ITM Entreprises, the company ITM Alimentaire France itself being owned by the company ITM Entreprises. The company ITM Entreprises has entrusted the company ITM Alimentaire Nord with the management and development of the franchise network operating stores under the Intermarché, Ecomarché, and Netto brands in the northern region of France.  </w:t>
        <w:br/>
        <w:t xml:space="preserve">3. The ITM Entreprises group achieved, during the fiscal year ending December 31, 2008, a total turnover excluding taxes of [20-30] billion euros, of which [15-25] billion was in France.  </w:t>
        <w:br/>
        <w:t xml:space="preserve">4. The company S.A Furmon (hereinafter "Furmon") is a French law company that operates a predominantly food store located in Coudekerque-Branche (59210) under the Intermarché brand. The shares of the company Furmon are held [majority] by Mr. and Mrs. X and members of their family. Mr. and Mrs. X are signatories of the membership charter of the Groupement des Mousquetaires. The remainder of the capital of the company Furmon is held by ITM Entreprises through a share that does not confer any special rights. Furthermore, the company Furmon signed a brand contract on May 22, 1996, with ITM Entreprises, by which the use of the Intermarché brand is granted for the operation of its business. The total turnover excluding taxes achieved by the company Furmon in 2008, the last closed fiscal year, amounts to 17.6 million euros exclusively in France.  </w:t>
        <w:br/>
        <w:t xml:space="preserve">5. ITM Alimentaire Nord committed, by a transfer protocol and net asset guarantee dated December 18, 2009, to acquire all the shares of the company Furmon held by Mr. and Mrs. X and their family.  </w:t>
        <w:br/>
        <w:t xml:space="preserve">6. Insofar as it results in the exclusive control of the company Furmon by the ITM Entreprises group, the notified operation constitutes a concentration within the meaning of Article L. 430-1 of the Commercial Code.  </w:t>
        <w:br/>
        <w:t xml:space="preserve">7.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8. According to the consistent practice of national and community competition authorities, two categories of markets can be delineated in the food-oriented distribution sector.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  </w:t>
        <w:br/>
        <w:t xml:space="preserve">1 See notably the decisions of the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MARKETS OF FOOD-ORIENTED DISTRIBUTION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  </w:t>
        <w:br/>
        <w:t xml:space="preserve">10. Supermarkets are usually defined as food-oriented stores with a sales area of less than 2,500 m2 and more than 400 m2. However, it should be noted that these thresholds must be used with caution and may be adapted to the specific case, stores whose area is near a threshold, either below or above, may find themselves in direct competition in practice.  </w:t>
        <w:br/>
        <w:t xml:space="preserve">11. In this case, the acquired store currently occupies a sales area of 1,200 m2. This store therefore falls into the category of supermarkets.  </w:t>
        <w:br/>
        <w:t xml:space="preserve">2. GEOGRAPHICAL DELIMITATION  </w:t>
        <w:br/>
        <w:t xml:space="preserve">12. In its recent decisions regarding operations involving hypermarkets or supermarkets with a food orientation, the Competition Authority has recalled that depending on the size of the stores concerned, the conditions of competition should be assessed in two different areas:  </w:t>
        <w:br/>
        <w:t xml:space="preserve">- a first area where the demand of consumers meets the supply of hypermarkets that they can access within less than 30 minutes of travel by car and which are, from their point of view, substitutable for each other;  </w:t>
        <w:br/>
        <w:t xml:space="preserve">- a second area where the demand of consumers meets the supply of supermarkets and other equivalent forms of commerce located within 15 minutes of travel time by car. These latter forms of commerce may include, in addition to supermarkets, hypermarkets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14. In this specific case, the store concerned by the operation occupies a sales area of less than 2,500 m2 and falls into the category of supermarkets, the competitive analysis will only focus on the second market, that is, the market including all hypermarkets, supermarkets, and discount stores located within a 15-minute catchment area by car around Coudekerque-Branche.</w:t>
      </w:r>
    </w:p>
    <w:p>
      <w:r>
        <w:rPr>
          <w:b/>
        </w:rPr>
        <w:t>[Pages 4–5]</w:t>
      </w:r>
    </w:p>
    <w:p>
      <w:r>
        <w:t xml:space="preserve">B. UPSTREAM SUPPLY MARKETS  </w:t>
        <w:br/>
        <w:t xml:space="preserve">15. Regarding the supply markets, the European Commission6 has identified the existence of markets of national dimension by major product groups, a delineation followed by national authorities7.  </w:t>
        <w:br/>
        <w:t>16. There is no reason to challenge this delineation on the occasion of the present operation.</w:t>
      </w:r>
    </w:p>
    <w:p>
      <w:r>
        <w:t xml:space="preserve">III. Competitive Analysis  </w:t>
        <w:br/>
        <w:t xml:space="preserve">17. In the downstream market, comprising supermarkets, hypermarkets, and discount stores located within a 15-minute catchment area around Coudekerque-Branche, the Intermarché of Coudekerque-Branche owned by the company Furmon represents 2.14% of the market share expressed in sales area (1,200 m² out of a total of 55,985 m²).  </w:t>
        <w:br/>
        <w:t xml:space="preserve">18. In addition to the Coudekerque-Branche supermarket, there are two other stores operated under the brand of the ITM Entreprises group in this area, which represent 4.20% and 3.54% of the market share, respectively.  </w:t>
        <w:br/>
        <w:t xml:space="preserve">19. The stores operated under the brand belonging to the ITM Entreprises group therefore hold, both before and after the operation, a market share of less than 10% in the considered area.  </w:t>
        <w:br/>
        <w:t xml:space="preserve">20. Furthermore, they face more than 20 competing stores operated under brands belonging to the Carrefour group (29% market share), or other competitors such as Auchan, Leclerc, Lidl, or Aldi.  </w:t>
        <w:br/>
        <w:t xml:space="preserve">21. Regarding the upstream supply markets, the operation, limited to one store, is not likely to significantly strengthen the purchasing power of the ITM Entreprises group, across all products as well as by major product groups. The strengthening is all the more minor as, prior to the operation, the point of sale subject to the operation was already [majority] supplied through subsidiaries of ITM Entreprises.  </w:t>
        <w:br/>
        <w:t xml:space="preserve">22. Consequently, the operation is not likely to harm competition in the upstream or downstream markets of food-oriented distribution.  </w:t>
        <w:br/>
        <w:t xml:space="preserve">6 See the Commission decisions M. 1221 Rewe/Meinl of February 3, 1999, M.1684 Carrefour/Promodès of January 25, 2000, and M. 2115 Carrefour/GB of September 28, 2000.  </w:t>
        <w:b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Single Article: The operation notified under number 10-0009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