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https://www.autoritedelaconcurrence.fr/fr/decision-de-controle-des-concentrations/relative-la-prise-de-controle-exclusif-de-la-societe-sadam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16-DCC-09 of January 25, 2016  </w:t>
        <w:br/>
        <w:t xml:space="preserve">regarding the exclusive control acquisition of the company Sadam by the  </w:t>
        <w:br/>
        <w:t xml:space="preserve">Société Commerciale Citroën  </w:t>
        <w:br/>
        <w:t xml:space="preserve">The Competition Authority,  </w:t>
        <w:br/>
        <w:t xml:space="preserve">Having regard to the notification file sent to the mergers department on December 15, 2015, and  </w:t>
        <w:br/>
        <w:t xml:space="preserve">declared complete on January 12, 2016, concerning the exclusive control acquisition by the company  </w:t>
        <w:br/>
        <w:t xml:space="preserve">Commerciale Citroën, a subsidiary of the Peugeot Citroën group, of the company Sadam, materialized by  </w:t>
        <w:br/>
        <w:t xml:space="preserve">a letter of offer and a draft share transfer agreement dated December 10, 2015;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Sadam, operating  </w:t>
        <w:br/>
        <w:t xml:space="preserve">an automobile distribution business under the Citroën brand located in Marignane (13),  </w:t>
        <w:br/>
        <w:t xml:space="preserve">by the Société Commerciale Citroën, a subsidiary of the Peugeot Citroën group. This operation  </w:t>
        <w:br/>
        <w:t xml:space="preserve">constitutes a concentration within the meaning of Article L. 430-1 of the Commercial Code. Given  </w:t>
        <w:br/>
        <w:t xml:space="preserve">the turnover achieved by the concerned companies, the operation does not fall under the  </w:t>
        <w:br/>
        <w:t xml:space="preserve">jurisdiction of the European Union. On the other hand, the retail control thresholds mentioned in point II of Article L. 430-2 of the Commercial Code are exceeded. The  </w:t>
        <w:br/>
        <w:t xml:space="preserve">present operation is therefore subject to the provisions of Articles L. 430-3 and following of the Commercial  </w:t>
        <w:br/>
        <w:t xml:space="preserve">Code relating to economic concentration.  </w:t>
        <w:br/>
        <w:t xml:space="preserve">2. In light of the elements of the file, the operation is not likely to harm competition in the  </w:t>
        <w:br/>
        <w:t>relevant markets.</w:t>
      </w:r>
    </w:p>
    <w:p>
      <w:r>
        <w:t xml:space="preserve">DECIDES  </w:t>
        <w:br/>
        <w:t xml:space="preserve">Sole Article: The operation notified under number 15-236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