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https://www.autoritedelaconcurrence.fr/fr/decision-de-controle-des-concentrations/relative-la-prise-de-controle-exclusif-de-la-societe-saint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12-DCC-106 of August 2, 2012  </w:t>
        <w:br/>
        <w:t xml:space="preserve">regarding the exclusive control acquisition of the company Saint Hubert SAS  </w:t>
        <w:br/>
        <w:t xml:space="preserve">by the investment fund Montagu IV Fund  </w:t>
        <w:br/>
        <w:t xml:space="preserve">The Competition Authority,  </w:t>
        <w:br/>
        <w:t xml:space="preserve">Having regard to the complete notification file submitted to the mergers department on July 17, 2012,  </w:t>
        <w:br/>
        <w:t xml:space="preserve">concerning the exclusive control acquisition of the company Saint Hubert SAS by the investment  </w:t>
        <w:br/>
        <w:t xml:space="preserve">fund Montagu IV Fund, materialized by a letter of intent dated June 29, 2012;  </w:t>
        <w:br/>
        <w:t xml:space="preserve">Having regard to Book IV of the Commercial Code relating to the freedom of prices and competition, and  </w:t>
        <w:br/>
        <w:t xml:space="preserve">notably its Articles L.430-1 to L. 430-7;  </w:t>
        <w:br/>
        <w:t xml:space="preserve">Adopts the following decision:  </w:t>
        <w:br/>
        <w:t xml:space="preserve">1. The notified operation consists of the exclusive control acquisition of SAS Saint Hubert, active  </w:t>
        <w:br/>
        <w:t xml:space="preserve">in the sector of manufacturing and marketing of vegetable fats, by the investment fund Montagu IV Fund. It constitutes a concentration within the meaning of  </w:t>
        <w:br/>
        <w:t xml:space="preserve">Article L. 430-1 of the Commercial Code. Given the turnover achieved by the  </w:t>
        <w:br/>
        <w:t xml:space="preserve">concerned companies, the operation does not have a community dimension. On the other hand,  </w:t>
        <w:br/>
        <w:t xml:space="preserve">the control thresholds mentioned in I of Article L. 430-2 are exceeded. This operation  </w:t>
        <w:br/>
        <w:t xml:space="preserve">is therefore subject to the provisions of Articles L. 430-3 and following of the Commercial Code  </w:t>
        <w:br/>
        <w:t xml:space="preserve">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12-111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