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https://www.autoritedelaconcurrence.fr/fr/decision-de-controle-des-concentrations/relative-la-prise-de-controle-exclusif-de-la-societe-samp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22-DCC-153 of August 16, 2022  </w:t>
        <w:br/>
        <w:t xml:space="preserve">regarding the exclusive control acquisition of the company SAMP by the company  </w:t>
        <w:br/>
        <w:t xml:space="preserve">CMA CGM  </w:t>
        <w:br/>
        <w:t xml:space="preserve">The Competition Authority,  </w:t>
        <w:br/>
        <w:t xml:space="preserve">Having regard to the complete notification file submitted to the mergers department on July 29, 2022,  </w:t>
        <w:br/>
        <w:t xml:space="preserve">concerning the exclusive control acquisition by the company CMA CGM of the company Société Anonyme  </w:t>
        <w:br/>
        <w:t xml:space="preserve">de Manutention et de Participation (hereinafter "SAMP"), formalized by the share acquisition agreement  </w:t>
        <w:br/>
        <w:t xml:space="preserve">of July 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CMA CGM of the  </w:t>
        <w:br/>
        <w:t xml:space="preserve">company SAMP, active in the sector of port terminal services.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22-170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