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https://www.autoritedelaconcurrence.fr/fr/decision-de-controle-des-concentrations/relative-la-prise-de-controle-exclusif-de-la-societe-santal</w:t>
      </w:r>
    </w:p>
    <w:p>
      <w:r>
        <w:t>Pages translated : 2</w:t>
      </w:r>
    </w:p>
    <w:p/>
    <w:p>
      <w:r>
        <w:rPr>
          <w:b/>
        </w:rPr>
        <w:t>[Pages 1–2]</w:t>
      </w:r>
    </w:p>
    <w:p>
      <w:r>
        <w:t xml:space="preserve">FRENCH REPUBLIC  </w:t>
        <w:br/>
        <w:t xml:space="preserve">Decision No. 15-DCC-38 of March 26, 2015  </w:t>
        <w:br/>
        <w:t xml:space="preserve">regarding the acquisition of exclusive control of the company Santal SA  </w:t>
        <w:br/>
        <w:t xml:space="preserve">by the company Expan U Ouest  </w:t>
        <w:br/>
        <w:t xml:space="preserve">The Competition Authority,  </w:t>
        <w:br/>
        <w:t xml:space="preserve">Having regard to the complete notification file sent to the mergers department on March 9, 2015,  </w:t>
        <w:br/>
        <w:t xml:space="preserve">concerning the acquisition of exclusive control of the company Santal, and formalized by a share transfer agreement dated March 6,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the company Santal, which operates a retail business with a predominant food focus under the Super U brand in the city of Buxerolles (86) by the company Expan U Ouest. It constitutes a concentration within the meaning of Article L. 430-1 of the Commercial Code. Given the turnover achieved by the companies concerned, the operation does not fall within the competence of the European Union. However, the control thresholds relating to concentration operations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15-034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