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https://www.autoritedelaconcurrence.fr/fr/decision-de-controle-des-concentrations/relative-la-prise-de-controle-exclusif-de-la-societe-sapas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21-DCC-224 of November 29, 2021  </w:t>
        <w:br/>
        <w:t xml:space="preserve">regarding the exclusive control acquisition of the company Sapas by the company  </w:t>
        <w:br/>
        <w:t xml:space="preserve">Emil Frey Motors France  </w:t>
        <w:br/>
        <w:t xml:space="preserve">The Competition Authority,  </w:t>
        <w:br/>
        <w:t xml:space="preserve">Having regard to the complete notification file submitted to the mergers department on November 12,  </w:t>
        <w:br/>
        <w:t xml:space="preserve">2021, concerning the exclusive control acquisition of the company Sapas by the company Emil Frey Motors  </w:t>
        <w:br/>
        <w:t xml:space="preserve">France, formalized by a letter of intent dated July 27,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Sapas, operating a  </w:t>
        <w:br/>
        <w:t xml:space="preserve">car dealership business under the Renault and Dacia brands in Salon-de-Provence (13), by the company  </w:t>
        <w:br/>
        <w:t xml:space="preserve">Emil Frey Motors France, which is itself active in the sectors of retail distribution of motor vehicles,  </w:t>
        <w:br/>
        <w:t xml:space="preserve">sale of spare parts, and automobile maintenance and repair. It constitutes a concentration operation  </w:t>
        <w:br/>
        <w:t xml:space="preserve">within the meaning of Article L. 430-1 of the Commercial Code. Given the turnover achieved by the  </w:t>
        <w:br/>
        <w:t xml:space="preserve">concerned companies, the operation does not fall under the jurisdiction of the European Union.  </w:t>
        <w:br/>
        <w:t xml:space="preserve">However, the retail control thresholds mentioned in II of Article L. 430-2 of the Commercial Code are  </w:t>
        <w:br/>
        <w:t xml:space="preserve">exceeded. 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in the relevant  </w:t>
        <w:br/>
        <w:t>markets.</w:t>
      </w:r>
    </w:p>
    <w:p>
      <w:r>
        <w:t xml:space="preserve">DECIDES  </w:t>
        <w:br/>
        <w:t xml:space="preserve">Sole Article: The operation notified under number 21-253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