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https://www.autoritedelaconcurrence.fr/fr/decision-de-controle-des-concentrations/relative-la-prise-de-controle-exclusif-de-la-societe-sas-0</w:t>
      </w:r>
    </w:p>
    <w:p>
      <w:r>
        <w:t>Pages translated : 5</w:t>
      </w:r>
    </w:p>
    <w:p/>
    <w:p>
      <w:r>
        <w:rPr>
          <w:b/>
        </w:rPr>
        <w:t>[Pages 1–3]</w:t>
      </w:r>
    </w:p>
    <w:p>
      <w:r>
        <w:t>FRENCH REPUBLIC</w:t>
        <w:br/>
        <w:t>Decision No. 10-DCC-27 of March 18, 2010</w:t>
        <w:br/>
        <w:t>regarding the exclusive control of the company SAS Copra</w:t>
        <w:br/>
        <w:t>by the company ITM Alimentaire Sud Ouest (ITM</w:t>
        <w:br/>
        <w:t>Entreprises group)</w:t>
        <w:br/>
        <w:t>The Competition Authority,</w:t>
        <w:br/>
        <w:t>Having regard to the notification file submitted in full to the merger service on February 15, 2010,</w:t>
        <w:br/>
        <w:t>regarding the acquisition of the majority of the shares of the company Copra SAS by the company ITM</w:t>
        <w:br/>
        <w:t>Entreprises, formalized by a memorandum of understanding signed on January 25, 2010.</w:t>
        <w:br/>
        <w:t>Having regard to Book IV of the Commercial Code relating to price and competition freedom, and</w:t>
        <w:br/>
        <w:t>notably its Articles L. 430-1 to L. 430-7;</w:t>
        <w:br/>
        <w:t>Adopts the following decision:</w:t>
        <w:br/>
        <w:t>I. The companies concerned and the operation.</w:t>
        <w:br/>
        <w:t>1. The company ITM Entreprises, 100% controlled by the Société civile des Mousquetaires,</w:t>
        <w:br/>
        <w:t>itself owned by 1,330 individuals known as "associated members," leads and animates the network of independent merchants known as the "Groupement des Mousquetaires." As a franchisor, the company ITM Entreprises has as its main activity the management of a network of points of sale,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points of sale.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The ITM Entreprises group achieved a total turnover excluding taxes of [20-30] billion euros during the last fiscal year ending December 31, 2008, of which [15-25] billion in France.</w:t>
      </w:r>
    </w:p>
    <w:p>
      <w:r>
        <w:t>2. The company ITM Alimentaire Sud Ouest is a French law company owned at [&gt;50]% by</w:t>
        <w:br/>
        <w:t>Société ITM Alimentaire France, which is itself owned by the company ITM Entreprises, and at</w:t>
        <w:br/>
        <w:t>[&lt;50]% by the company ITM Entreprises.</w:t>
        <w:br/>
        <w:t>3. The company SAS Copra (hereinafter "Copra") is a French law company whose purpose is</w:t>
        <w:br/>
        <w:t>the operation of a predominantly food store located in Hagetmau (40) under the Intermarché brand. The shares of the company Copra are held [majority] in full ownership by Mr. and Mrs. X. The company ITM Entreprises holds a preference share in full ownership. The statutes of the company Copra grant ITM Entreprises, for a period of [&gt;10] years, the ability to block any change of brand, to oppose any transfer of shares, and to compel the majority shareholders to sell the business as soon as they operate a similar business under a competing brand. Beyond this period, ITM Entreprises retains a right of first refusal on any sale of shares for an additional period of [&gt;2] years. It follows from the above that prior to the operation, ITM Entreprises was already jointly exercising control of the company Copra with Mr. and Mrs. X. The total consolidated worldwide turnover excluding taxes achieved by the company Copra in 2008, the last closed fiscal year, amounts to 26.3 million euros exclusively in France.</w:t>
        <w:br/>
        <w:t>4. The company ITM Alimentaire Sud Ouest has committed, by a memorandum of understanding signed on January 25, 2010, to acquire the shares of the company Copra SAS held by Mr. and Mrs. X. It states that this is a provisional acquisition and that the acquired shares should be returned as soon as possible to a new independent operator.</w:t>
        <w:br/>
        <w:t>5. The operation is therefore analyzed as the transition from joint control of ITM Entreprises and Mr. and Mrs. X to exclusive control of ITM Entreprises through its subsidiary ITM Alimentaire Sud Ouest over the company Copra. It constitutes a concentration within the meaning of Article L. 430-1 of the Commercial Code.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6. According to the constant practice of national and community competition authorities, two</w:t>
        <w:br/>
        <w:t>categories of markets can be delineated in the food-dominant distribution sector. These are, on the one hand, "downstream" markets, of local dimension, which bring together retail trade companies and consumers for the sale of consumer goods and, on the other hand, "upstream" markets for the supply of retail trade companies in everyday consumer goods, of national dimension.</w:t>
        <w:br/>
        <w:t>1 See notably the decisions of the commission M.946 Intermarché/Spar of June 30, 1997, M.991 Promodès/Casino of October 30, 1997, and M.1684 Carrefour/Promodès of January 25, 2000. See also the ministerial decree of July 5, 2000 in the Carrefour/Promodès operation and the opinions of the Competition Council No. 97-A-14 of July 1, 1997, in the Carrefour/Cora case, No. 98-A-06 of May 5, 1998, in the Casino Franprix/Leader Price case, and No. 00-A-06 of May 3, 2000, in the Carrefour/Promodès case.</w:t>
        <w:br/>
        <w:t>2 Commission decisions in the cases M.1221 Rewe/Meinl of February 3, 1999, M.1684 Carrefour/Promodès of January 25, 2000, and M.2115 Carrefour/GB of September 28, 2000. See also the decision C.2005-98 Carrefour/Penny Market of November 10, 2005.</w:t>
      </w:r>
    </w:p>
    <w:p>
      <w:r>
        <w:t>A. DOWNSTREAM DISTRIBUTION MARKETS</w:t>
        <w:br/>
        <w:t>1. SERVICE MARKETS</w:t>
        <w:br/>
        <w:t>7.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w:t>
        <w:br/>
        <w:t>8. Supermarkets are usually defined as predominantly food stores with a sales area of less than 2,500 m2 and more than 400 m2. However, it should be noted that these thresholds should be used with caution and may be adapted to the specific case, considering that stores whose area is near a threshold, either below or above, may be in direct competition in practice.</w:t>
        <w:br/>
        <w:t>9. In this case, the acquired store currently occupies a sales area of 2,880 m2. This store therefore falls into the category of hypermarkets.</w:t>
        <w:br/>
        <w:t>2. GEOGRAPHICAL DELIMITATION</w:t>
        <w:br/>
        <w:t>10. In its recent decisions regarding operations concerning hypermarkets or supermarkets, the Competition Authority has recalled that depending on the size of the stores concerned, the conditions of competition should be assessed in two different areas:</w:t>
        <w:br/>
        <w:t>- a first area where the demand from consumers in one area meets the supply of hypermarkets to which they have access within 30 minutes of travel by car and which are, from their point of view, substitutable for each other;</w:t>
        <w:br/>
        <w:t>- a second area where the demand from consumers meets the supply of supermarkets and other equivalent forms of commerce, located within 15 minutes of travel time by car. These latter forms of commerce may include, in addition to supermarkets, hypermarkets and discount stores.</w:t>
        <w:br/>
        <w:t>11. Other criteria may nevertheless be taken into account to assess the impact of a concentration on the competitive situation in retail distribution markets, which may lead to refining, in the specific case, the usual delimitations presented above.</w:t>
      </w:r>
    </w:p>
    <w:p>
      <w:r>
        <w:rPr>
          <w:b/>
        </w:rPr>
        <w:t>[Pages 4–5]</w:t>
      </w:r>
    </w:p>
    <w:p>
      <w:r>
        <w:t xml:space="preserve">B. UPSTREAM SUPPLY MARKETS  </w:t>
        <w:br/>
        <w:t xml:space="preserve">12. Regarding the supply markets, the European Commission6 has identified the existence of national markets by major product groups, a delineation followed by national authorities7.  </w:t>
        <w:br/>
        <w:t xml:space="preserve">13. There is no reason to challenge this delineation in the context of the present operation.  </w:t>
        <w:br/>
        <w:t xml:space="preserve">III. Competitive Analysis  </w:t>
        <w:br/>
        <w:t xml:space="preserve">1. DOWNSTREAM MARKETS FOR FOOD-DOMINANT DISTRIBUTION  </w:t>
        <w:br/>
        <w:t xml:space="preserve">14. In the market comprising hypermarkets located within a 30-minute catchment area around Hagetmau, the Intermarché of Hagetmau operated by the company Copra represents 23% of the market share expressed in sales area (2,880 m² out of a total of 12,409 m²). Another Intermarché hypermarket is also present on the edge of the area in Orthez, occupying an area of 3,490 m² (28% market share). The market share of stores operated under a brand of the ITM Entreprises group is not altered by the present operation: it stands, before and after the operation, at 51%. Furthermore, as mentioned above, the notifying party declares that it is acquiring the shares of the company Copra on a provisional basis, with a view to their transfer to an independent operator. These stores face competition from a hypermarket operated under the E. Leclerc brand occupying a sales area of 6,039 m² (49% market share). In immediate proximity to the edge of the area is also the city of Mont-de-Marsan with several competing hypermarkets.  </w:t>
        <w:br/>
        <w:t xml:space="preserve">15. In the market comprising supermarkets and other equivalent forms of commerce, located within a 15-minute driving distance around Hagetmau, the Intermarché operated by the company Copra represents 45% of the sales area (2,880 m² out of a total of 6,390 m²). Also present in the area is a Carrefour of 2,057 m², accounting for 32% of the sales area, and a Lidl of 803 m², accounting for 13%. Finally, the planned extension of the Netto in Hagetmau to 650 m² must be taken into account, which would raise the share of stores operated under a brand of the ITM Entreprises group in the total sales area to 55%. However, the notified operation does not alter the market share controlled by the group.  </w:t>
        <w:br/>
        <w:t xml:space="preserve">16. Therefore, the operation is not likely to harm competition in the markets concerned.  </w:t>
        <w:br/>
        <w:t xml:space="preserve">2. UPSTREAM SUPPLY MARKETS  </w:t>
        <w:br/>
        <w:t xml:space="preserve">17. Regarding the upstream supply markets, the operation, which concerns only one store, is not likely to significantly strengthen the purchasing power of the ITM Entreprises group, across all products as well as by major product groups. The strengthening is all the more minor as, prior to the operation, the target company was already sourcing 64% through subsidiaries of ITM Entreprises.  </w:t>
        <w:br/>
        <w:t xml:space="preserve">DECIDES  </w:t>
        <w:br/>
        <w:t xml:space="preserve">Sole Article: The operation notified under number 10-0014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