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https://www.autoritedelaconcurrence.fr/fr/decision-de-controle-des-concentrations/relative-la-prise-de-controle-exclusif-de-la-societe-sas-1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11-DCC-16 of January 31, 2011  </w:t>
        <w:br/>
        <w:t>regarding the exclusive control acquisition of the company SAS SOPODIS and its subsidiaries by the company Système U Centrale Régionale Est</w:t>
      </w:r>
    </w:p>
    <w:p>
      <w:r>
        <w:t>The Competition Authority,</w:t>
      </w:r>
    </w:p>
    <w:p>
      <w:r>
        <w:t>Having regard to the complete notification file submitted to the mergers department on December 27, 2010, concerning the acquisition of the company SOPODIS and its subsidiaries by the company Système U Centrale Régionale Est, formalized by the acceptance on December 6, 2010, by the company Système U Centrale Régionale Est, of a sale offer made by the company SOPODIS on November 9, 2010;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company Système U Centrale Régionale Est of the company SOPODIS, which operates a hypermarket under the Super U brand in Pontcharra (38). It constitutes a concentration operation within the meaning of Article L. 430-1 of the Commercial Code. Given the turnover generated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10-0241 is authorized.  </w:t>
        <w:br/>
        <w:t xml:space="preserve">The Vice-President,  </w:t>
        <w:br/>
        <w:t xml:space="preserve">Anne Perrot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