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https://www.autoritedelaconcurrence.fr/fr/decision-de-controle-des-concentrations/relative-la-prise-de-controle-exclusif-de-la-societe-sas-2</w:t>
      </w:r>
    </w:p>
    <w:p>
      <w:r>
        <w:t>Pages translated : 4</w:t>
      </w:r>
    </w:p>
    <w:p/>
    <w:p>
      <w:r>
        <w:rPr>
          <w:b/>
        </w:rPr>
        <w:t>[Pages 1–3]</w:t>
      </w:r>
    </w:p>
    <w:p>
      <w:r>
        <w:t>FRENCH REPUBLIC</w:t>
        <w:br/>
        <w:t>Decision No. 11-DCC-33 of February 24, 2011</w:t>
        <w:br/>
        <w:t>regarding the exclusive control of the company</w:t>
        <w:br/>
        <w:t>SAS Transports Roger Renaud et Cie and the business assets of the</w:t>
        <w:br/>
        <w:t>company Renaud Distribution by the company Transports G Gautier</w:t>
        <w:br/>
        <w:t>The Competition Authority,</w:t>
        <w:br/>
        <w:t>Having regard to the notification file submitted in full to the concentrations service on January 24, 2011,</w:t>
        <w:br/>
        <w:t>regarding the exclusive control of the company SAS Transports Roger Renaud et Cie</w:t>
        <w:br/>
        <w:t>(hereinafter "Transports Roger Renaud et Cie") and the business assets of the company</w:t>
        <w:br/>
        <w:t>Renaud Distribution (hereinafter, together, "the targets") by the company Transports G Gautier</w:t>
        <w:br/>
        <w:t>(hereinafter "STG"), formalized by an acquisition offer dated September 30, 2010, as well</w:t>
        <w:br/>
        <w:t>as by two transfer agreements dated November 29, 2010;</w:t>
        <w:br/>
        <w:t>Having regard to Book IV of the Commercial Code relating to the freedom of prices and competition, and</w:t>
        <w:br/>
        <w:t>notably its Articles L. 430-1 to L. 430-7;</w:t>
        <w:br/>
        <w:t>Adopts the following decision:</w:t>
        <w:br/>
        <w:t>I. The concerned companies and the operation</w:t>
        <w:br/>
        <w:t>1. STG is the parent company of the STG group. The capital of this company is wholly owned,</w:t>
        <w:br/>
        <w:t>directly and indirectly, by members of the Gautier family, who do not hold any other controlling</w:t>
        <w:br/>
        <w:t>interest. The STG group offers, through various subsidiaries, goods transport services, industrial</w:t>
        <w:br/>
        <w:t>messaging, and chartering.</w:t>
        <w:br/>
        <w:t>2. Transports Roger Renaud et Cie is a simplified joint-stock company whose capital is</w:t>
        <w:br/>
        <w:t>currently shared among various members of the Renaud family. Transports Roger</w:t>
        <w:br/>
        <w:t>Renaud et Cie notably holds all the capital of the companies Renaud Nantes, Renaud</w:t>
        <w:br/>
        <w:t>Frères, and Lomatrans. This group of companies is active in the sector of road transport of</w:t>
        <w:br/>
        <w:t>goods under controlled temperature. Furthermore, three members of the Renaud family,</w:t>
        <w:br/>
        <w:t>shareholders of the company Transports Roger Renaud et Cie, own the company Renaud</w:t>
        <w:br/>
        <w:t>Distribution, which operates a business in the same sector.</w:t>
        <w:br/>
        <w:t>3. The operation consists of STG acquiring all the shares of the company</w:t>
        <w:br/>
        <w:t>Transports Roger Renaud et Cie and the business assets of the company Renaud Distribution.</w:t>
      </w:r>
    </w:p>
    <w:p>
      <w:r>
        <w:t>The acquisition of the company Transports Roger Renaud et Cie and the business assets of the</w:t>
        <w:br/>
        <w:t>company Renaud Distribution by STG constitutes a single operation. Indeed, these</w:t>
        <w:br/>
        <w:t>two acquisitions are the subject of a single acquisition offer by STG, the transfer agreements</w:t>
        <w:br/>
        <w:t>were signed simultaneously and stipulate that the transfer of Transports Roger Renaud</w:t>
        <w:br/>
        <w:t>et Cie is a necessary condition for the transfer of the business assets of the company Renaud</w:t>
        <w:br/>
        <w:t>Distribution and vice versa.</w:t>
        <w:br/>
        <w:t>4. Furthermore, the notifying party specifies that the company Renaud Distribution terminated a service</w:t>
        <w:br/>
        <w:t>contract with its main client, [Confidential], on September 30, 2010, effective March 31, 2011. STG having set the termination of this contract as a condition precedent to the acquisition of the targets, it is necessary to take this into account in the assessment of the revenue attributable to the target business. Indeed, paragraph 172 of the consolidated Communication on the competence of the Commission under Regulation (EC) No. 139/2004 of the Council concerning the control of concentrations between undertakings specifies that "an adjustment must always be made to take into account permanent changes in the economic reality of the concerned undertakings, such as acquisitions or disposals that do not appear or only partially appear in the audited accounts. (...) The adjustment is applicable only to acquisitions, disposals, or closures of part of the activity subsequent to the audit of the accounts. It is relevant (...) if this divestment or closure is a prerequisite for the operation. In this case, the revenue attributable to this part of the activity will be deducted from the revenue of the notifying party as it appears from the most recent audited accounts. If an agreement regarding the sale of part of its activity is signed, but the sale (in other words, its legal implementation and the transfer of the legal title of the shares or acquired assets) has not yet been finalized, this change is not taken into account, unless the sale is a prerequisite for the notified operation."</w:t>
        <w:br/>
        <w:t>5. Insofar as it results in the exclusive control of the company Transports Roger Renaud</w:t>
        <w:br/>
        <w:t>et Cie and the business assets of the company Renaud Distribution by STG, the operation</w:t>
        <w:br/>
        <w:t>constitutes a concentration within the meaning of Article L. 430-1 of the Commercial Code.</w:t>
        <w:br/>
        <w:t>6. The concerned companies together achieve a total worldwide revenue of more than 150 million euros (STG: 262 million euros for the fiscal year ending September 30, 2010; Transports Roger Renaud et Cie: 52 million euros for the same fiscal year; business assets of Renaud Distribution: 530,000 euros for the same fiscal year). At least two of these companies achieve in France a revenue exceeding 50 million euros (STG: 240 million euros for the fiscal year ending September 30, 2010; Transports Roger Renaud et Cie: 51 million euros). Given the revenues of the concerned companies, it does not have a community dimension. On the other hand, the control thresholds mentioned in I of Article L. 430-2 of the Commercial Code are exceeded. The present operation is therefore subject to the provisions of Articles L. 430-3 and following of the Commercial Code relating to economic concentration.</w:t>
        <w:br/>
        <w:t>II. Delimitation of relevant markets</w:t>
        <w:br/>
        <w:t>7. The activities of the parties overlap in the area of road transport services for goods under controlled temperature, which is the market on which the competitive analysis will focus.</w:t>
      </w:r>
    </w:p>
    <w:p>
      <w:r>
        <w:t>A. DELIMITATION OF PRODUCT MARKETS</w:t>
        <w:br/>
        <w:t>8. Regarding certain products that meet specific transport requirements, national decision-making practice considers that segmentation according to the type of product may be relevant. It has thus noted the existence of a market for the road transport of goods under controlled temperature1, particularly considering the specialization of operators in this market and the technical constraints inherent in transport under controlled temperature. This activity involves transporting fresh and frozen products in isothermal, refrigerating, or freezing vehicles. Transport under controlled temperature is thus characterized by a demand consisting of manufacturers, distributors, and wholesalers who do not have their own fleet of trucks for the delivery of their fresh and frozen products.</w:t>
        <w:br/>
        <w:t>9. The competitive analysis will therefore be conducted on the market for road transport of goods under controlled temperature.</w:t>
        <w:br/>
        <w:t>B. GEOGRAPHICAL DELIMITATION OF MARKETS</w:t>
        <w:br/>
        <w:t>10. According to decision-making practice2, the market for road transport of goods under controlled temperature has a national dimension, notably due to consumer perceptions regarding the national nature of the collection and delivery of products, price discrepancies noted between countries as well as differences between the commercial policies of providers, and finally the discrepancies existing between the market shares obtained by transport companies depending on the countries.</w:t>
        <w:br/>
        <w:t>11. There is no need to challenge this delimitation during the examination of the present operation.</w:t>
        <w:br/>
        <w:t>III. Competitive analysis</w:t>
        <w:br/>
        <w:t>12. Following the operation, the position of the STG group will remain limited in the market for road transport of goods under controlled temperature. Its market share will rise to 5.5% (4.4% for STG and 1.1% for the Targets). In this market, the STEF TFE group holds a leading position [Confidential], with the remainder of the supply being shared by numerous operators with market shares below 5%.</w:t>
        <w:br/>
        <w:t>13. Given the above, the present operation is not likely to harm competition.</w:t>
        <w:br/>
        <w:t>1 Letter from the Minister of Economy, Finance and Industry No. C2005-36 of January 6, 2006, to the board of the company STEF-TFE, regarding</w:t>
        <w:br/>
        <w:t>a concentration in the refrigerated storage sector and No. C2005-116 of December 9, to the boards of the company Delanchy</w:t>
        <w:br/>
        <w:t>Transports, regarding a concentration in the sector of road transport of goods under controlled temperature.</w:t>
        <w:br/>
        <w:t>2 Decisions of the Minister C2005-36 and C2005-116 mentioned above.</w:t>
      </w:r>
    </w:p>
    <w:p>
      <w:r>
        <w:rPr>
          <w:b/>
        </w:rPr>
        <w:t>[Pages 4–4]</w:t>
      </w:r>
    </w:p>
    <w:p>
      <w:r>
        <w:t xml:space="preserve">DECIDES  </w:t>
        <w:br/>
        <w:t xml:space="preserve">Sole Article: The operation notified under number 10-0175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