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https://www.autoritedelaconcurrence.fr/fr/decision-de-controle-des-concentrations/relative-la-prise-de-controle-exclusif-de-la-societe-sas-4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14-DCC-148 of October 10, 2014  </w:t>
        <w:br/>
        <w:t xml:space="preserve">regarding the exclusive control acquisition of the company SAS Frignidis by the  </w:t>
        <w:br/>
        <w:t xml:space="preserve">company Système U Centrale Régionale Est  </w:t>
        <w:br/>
        <w:t xml:space="preserve">The Competition Authority,  </w:t>
        <w:br/>
        <w:t xml:space="preserve">Having regard to the complete notification file sent to the mergers department on September 18,  </w:t>
        <w:br/>
        <w:t xml:space="preserve">2014, concerning the exclusive control acquisition of the company SAS Frignidis by the company Système  </w:t>
        <w:br/>
        <w:t xml:space="preserve">U Centrale Régionale Est and formalized by a letter of intent dated  </w:t>
        <w:br/>
        <w:t xml:space="preserve">September 3,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Système U Centrale  </w:t>
        <w:br/>
        <w:t xml:space="preserve">Régionale Est of SAS Frignidis which operates a Super U store located in Frignicourt (51).  </w:t>
        <w:br/>
        <w:t xml:space="preserve">It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control thresholds related to retail trade mentioned in point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14-160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