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https://www.autoritedelaconcurrence.fr/fr/decision-de-controle-des-concentrations/relative-la-prise-de-controle-exclusif-de-la-societe-sas-5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14-DCC-72 of May 27, 2014</w:t>
        <w:br/>
        <w:t>regarding the exclusive control acquisition of the company SAS Elomas by the</w:t>
        <w:br/>
        <w:t>company Expan U Est</w:t>
        <w:br/>
        <w:t>The Competition Authority,</w:t>
        <w:br/>
        <w:t>Having regard to the complete notification file sent to the mergers department on April 18, 2014,</w:t>
        <w:br/>
        <w:t>concerning the exclusive control acquisition of the company SAS Elomas and its subsidiary SAS Pontadis</w:t>
        <w:br/>
        <w:t>by the company Expan U Est, materialized by a minutes of the board of directors of Expan U Est approving the operation, dated February 4, 2014, and by a letter accepting the purchase offer dated March 17, 2014;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SAS Elomas and its</w:t>
        <w:br/>
        <w:t>subsidiary SAS Pontadis, which operates a Super U store located in Vesoul in Haute Saône (70),</w:t>
        <w:br/>
        <w:t>by the company Expan U Est. It constitutes a concentration operation within the meaning of Article</w:t>
        <w:br/>
        <w:t>L. 430-1 of the Commercial Code. Given the turnover achieved by the companies involved, the operation does not fall under the jurisdiction of the European Union. On the other hand,</w:t>
        <w:br/>
        <w:t>the retail control thresholds mentioned in point II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14-068 is authorized.</w:t>
        <w:br/>
        <w:t>The Vice-President,</w:t>
        <w:br/>
        <w:t>Élisabeth Flüry-Hérard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