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https://www.autoritedelaconcurrence.fr/fr/decision-de-controle-des-concentrations/relative-la-prise-de-controle-exclusif-de-la-societe-sas-7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26-DCC-35 of January 28, 2026  </w:t>
        <w:br/>
        <w:t xml:space="preserve">regarding the exclusive control acquisition of the company SAS Crouy FDC  </w:t>
        <w:br/>
        <w:t>by Cooperative U</w:t>
      </w:r>
    </w:p>
    <w:p>
      <w:r>
        <w:t>The Competition Authority,</w:t>
      </w:r>
    </w:p>
    <w:p>
      <w:r>
        <w:t xml:space="preserve">Having regard to the complete notification file submitted to the mergers department on January 13, 2026,  </w:t>
        <w:br/>
        <w:t xml:space="preserve">concerning the exclusive control acquisition of the company SAS Crouy FDC by Cooperative U,  </w:t>
        <w:br/>
        <w:t xml:space="preserve">formalized by a purchase promise signed on July 2, 2025, and a share and debt transfer agreement  </w:t>
        <w:br/>
        <w:t>dated October 28, 2025;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transaction consists of the acquisition by Cooperative U of exclusive control of the  </w:t>
        <w:br/>
        <w:t xml:space="preserve">company SAS Crouy FDC, owner of the business premises of a store operated under the  </w:t>
        <w:br/>
        <w:t xml:space="preserve">Carrefour Market brand in Crouy (02), with a sales area of 4,000 m², including an attached drive.  </w:t>
        <w:br/>
        <w:t xml:space="preserve">The transaction constitutes a concentration within the meaning of Article L. 430-1 of the Commercial Code.  </w:t>
        <w:br/>
        <w:t xml:space="preserve">Given the turnover achieved by the companies concerned, the transaction does not fall under the  </w:t>
        <w:br/>
        <w:t xml:space="preserve">jurisdiction of the European Union. However, the control thresholds mentioned in II of Article L. 430-2  </w:t>
        <w:br/>
        <w:t xml:space="preserve">of the Commercial Code are exceeded. This transaction is therefore subject to the provisions of Articles  </w:t>
        <w:br/>
        <w:t>L. 430-3 and following of the Commercial Code relating to economic concentration.</w:t>
      </w:r>
    </w:p>
    <w:p>
      <w:r>
        <w:t xml:space="preserve">2. In light of the elements of the file, the transaction is not likely to harm competition in the  </w:t>
        <w:br/>
        <w:t>relevant markets.</w:t>
      </w:r>
    </w:p>
    <w:p>
      <w:r>
        <w:t xml:space="preserve">The acquisition also includes the real estate assets attached to the premises in which the  </w:t>
        <w:br/>
        <w:t>Carrefour store in Crouy is operated.</w:t>
      </w:r>
    </w:p>
    <w:p>
      <w:r>
        <w:t xml:space="preserve">DECIDES  </w:t>
        <w:br/>
        <w:t xml:space="preserve">Sole Article: The notified transaction under number 26-016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