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https://www.autoritedelaconcurrence.fr/fr/decision-de-controle-des-concentrations/relative-la-prise-de-controle-exclusif-de-la-societe-sas-8</w:t>
      </w:r>
    </w:p>
    <w:p>
      <w:r>
        <w:t>Pages translated : 2</w:t>
      </w:r>
    </w:p>
    <w:p/>
    <w:p>
      <w:r>
        <w:rPr>
          <w:b/>
        </w:rPr>
        <w:t>[Pages 1–2]</w:t>
      </w:r>
    </w:p>
    <w:p>
      <w:r>
        <w:t xml:space="preserve">FRENCH REPUBLIC  </w:t>
        <w:br/>
        <w:t xml:space="preserve">Decision No. 26-DCC-55 of February 16, 2026  </w:t>
        <w:br/>
        <w:t xml:space="preserve">regarding the exclusive control acquisition of the company SAS d’Exploitation des Etablissements Poignat by the company Repsol Customer Centric  </w:t>
        <w:br/>
        <w:t xml:space="preserve">The Competition Authority,  </w:t>
        <w:br/>
        <w:t xml:space="preserve">Having regard to the complete notification file sent to the mergers department on January 13, 2026, concerning the exclusive control acquisition of the company SAS d’Exploitation des Etablissements Poignat by the company Repsol Customer Centric, a subsidiary of the Repsol group, formalized by a letter of intent accepted on July 18, 2025;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of 100% of the shares of the company SAS d’Exploitation des Etablissements Poignat by the company Repsol Customer Centric, a subsidiary of the Repsol group. The relevant sectors are those of the distribution of petroleum products and the sale of automotive lubricants. The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26-015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