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https://www.autoritedelaconcurrence.fr/fr/decision-de-controle-des-concentrations/relative-la-prise-de-controle-exclusif-de-la-societe-sas-ep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25-DCC-224 of October 8, 2025</w:t>
        <w:br/>
        <w:t>regarding the exclusive control acquisition of the company</w:t>
        <w:br/>
        <w:t>SAS EP Investissement by Pearl Infrastructure Capital</w:t>
        <w:br/>
        <w:t>The Competition Authority,</w:t>
        <w:br/>
        <w:t>Having regard to the complete notification file submitted to the mergers department on</w:t>
        <w:br/>
        <w:t>September 22, 2025, concerning the exclusive control acquisition of the company SAS EP Investissement</w:t>
        <w:br/>
        <w:t>by the investment fund Pearl Infrastructure Capital II SCA-RAIF, formalized by an</w:t>
        <w:br/>
        <w:t>investment protocol dated September 15,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</w:t>
        <w:br/>
        <w:t>SAS EP Investissement by the investment fund Pearl Infrastructure Capital II SCA-RAIF, managed by the company Edmond de Rothschild Private Equity Luxembourg. The relevant sector is that of flexibility and energy demand response.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  <w:br/>
        <w:t>1 Also called demand response mechanism, energy demand response consists of asking individuals or businesses to temporarily reduce their electricity consumption during peak consumption times.</w:t>
      </w:r>
    </w:p>
    <w:p>
      <w:r>
        <w:t>DECIDES</w:t>
        <w:br/>
        <w:t>Single Article: The operation notified under number 25-241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