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https://www.autoritedelaconcurrence.fr/fr/decision-de-controle-des-concentrations/relative-la-prise-de-controle-exclusif-de-la-societe-sas</w:t>
      </w:r>
    </w:p>
    <w:p>
      <w:r>
        <w:t>Pages translated : 5</w:t>
      </w:r>
    </w:p>
    <w:p/>
    <w:p>
      <w:r>
        <w:rPr>
          <w:b/>
        </w:rPr>
        <w:t>[Pages 1–3]</w:t>
      </w:r>
    </w:p>
    <w:p>
      <w:r>
        <w:t>FRENCH REPUBLIC</w:t>
        <w:br/>
        <w:t>Decision No. 10-DCC-10 of January 27, 2010</w:t>
        <w:br/>
        <w:t>regarding the exclusive control of the company SAS Aldiscol by the</w:t>
        <w:br/>
        <w:t>company ITM Alimentaire Est (Group ITM Entreprises)</w:t>
        <w:br/>
        <w:t>The Competition Authority,</w:t>
        <w:br/>
        <w:t>Having regard to the notification file submitted in full to the concentrations service on December 23, 2009, regarding the exclusive control of SAS Aldiscol by the company ITM Alimentaire Est, formalized by a protocol agreement signed on December 2, 2009.</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The company ITM Entreprises, 100% controlled by the Société civile des Mousquetaires, itself held by 1,330 individuals known as "associated members," conducts and animates the network of independent merchants known as the "Groupement des Mousquetaires." As a franchisor, ITM Entreprises' main activity is the animation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w:t>
        <w:br/>
        <w:t>2. The company ITM Alimentaire Est is a French law company held at [&gt;50]% by the Société ITM Alimentaire France, itself held by the company ITM Entreprises, and at [&lt;50]% by the company ITM Entreprises. The company ITM Entreprises has entrusted ITM Alimentaire Est with the animation and development of the network of franchisees operating under the food brands Intermarché, Ecomarché, and Netto in the east of France.</w:t>
        <w:br/>
        <w:t>3. The company ITM Entreprises achieved, during the last fiscal year ending December 31, 2008, a total turnover excluding taxes of [20-30] billion euros, of which [15-25] billion in France.</w:t>
        <w:br/>
        <w:t>4. The company SAS Aldiscol (hereinafter "Aldiscol"), is a French law company whose main purpose is the operation of a food-dominant store located in Colmar (68) under the Intermarché brand. The shares of the company Aldiscol are held [majority] in full ownership by different members of the X family and at […] in full ownership by SAS Lanollec, which is owned by the X family. The balance of Aldiscol's capital is held by ITM Entreprises to the extent of one share and by the company ITM Alimentaire Est to the extent of [&lt;5]% in bare ownership. Mr. and Mrs. X are signatories of the membership charter of the Groupement des Mousquetaires and the company Aldiscol signed a brand contract with ITM Entreprises on April 13, 2007. The total turnover excluding taxes achieved by Aldiscol in 2008, the last closed fiscal year, amounts to 19 million euros exclusively in France.</w:t>
        <w:br/>
        <w:t>5. The statutes of the company Aldiscol distinguish two categories of shares: those held by the ITM Entreprises group known as category A and those held by the other shareholders known as category B. For a period of 25 years, category A shareholders have the possibility to block any change of brand, to oppose any transfer of shares, and to compel the majority shareholders to sell the business as soon as they operate a similar business under a competing brand. Beyond this period, ITM Entreprises enjoys its right of preference in the event of a transfer of shares by the other shareholders for an additional 5 years. Furthermore, the brand contract grants ITM Entreprises a right of priority in the event of a transfer of the business, at a price calculated according to a predetermined formula for a duration of 25 years, extended by 5 years after the expiration of the brand contract.</w:t>
        <w:br/>
        <w:t>6. It follows from the above that, prior to the operation, ITM Entreprises jointly exercises control of the company Aldiscol with the X family.</w:t>
        <w:br/>
        <w:t>7. ITM Alimentaire Est has committed, through a protocol agreement dated December 2, 2009, to acquire part of the shares of the company Aldiscol held by the X family and SAS Lanollec. Following the operation, the ITM Entreprises group will become the majority shareholder of the capital of the company Aldiscol with [&gt;50]% of the shares. The transfer protocol provides that the balance of the capital will be distributed between Mr. X ([&gt;30]%) and SAS Lanollec ([&gt;5]%) who will not hold rights exceeding those normally granted to minority shareholders to protect their financial interests.</w:t>
        <w:br/>
        <w:t>8. The notified operation thus results in the transition from joint control to exclusive control of the company Aldiscol by the ITM Entreprises group. It therefore constitutes a concentration within the meaning of Article L. 430-1 of the Commercial Code.</w:t>
        <w:br/>
        <w:t>9. Given the turnover of the concerned companies,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II. Delimitation of Relevant Markets</w:t>
        <w:br/>
        <w:t>10. According to the consistent practice of national and community competition authorities1, two categories of markets can be delineated2 in the predominantly food distribution sector. These are, on the one hand, the "downstream" markets, of local dimension, which bring together retail companies and consumers for the sale of consumer goods and, on the other hand, the "upstream" markets for the supply of retail companies with everyday consumer goods, of national dimension.</w:t>
        <w:br/>
        <w:t>A. DOWNSTREAM DISTRIBUTION MARKETS</w:t>
        <w:br/>
        <w:t>1. SERVICE MARKETS</w:t>
        <w:br/>
        <w:t>11. Concerning the retail sale of everyday consumer goods, competition authorities, both community and national3, have distinguished six categories of commerce using several criteria, including store size, sales techniques, accessibility, the nature of the service provided, and the range of products offered: (i) hypermarkets, (ii) supermarkets, (iii) specialized trade, (iv) small retail trade, (v) maxi discounters, (vi) mail order.</w:t>
        <w:br/>
        <w:t>12. Supermarkets are usually defined as food-dominant stores with a sales area of less than 2,500 m2 and greater than 400 m2. However, it should be noted that these thresholds must be used with caution and may be adapted to the specific case, considering that stores whose area is close to a threshold, either below or above, may be in direct competition in practice4.</w:t>
        <w:br/>
        <w:t>13. In this case, the acquired store currently occupies a sales area of 2,416 m2, which is the upper limit of the supermarket category.</w:t>
        <w:br/>
        <w:t>2. GEOGRAPHICAL DELIMITATION</w:t>
        <w:br/>
        <w:t>14. In its recent decisions5 regarding operations involving hypermarkets or supermarkets, the Competition Authority has recalled that two types of markets are usually distinguished, based on catchment areas:</w:t>
      </w:r>
    </w:p>
    <w:p>
      <w:r>
        <w:rPr>
          <w:b/>
        </w:rPr>
        <w:t>[Pages 4–5]</w:t>
      </w:r>
    </w:p>
    <w:p>
      <w:r>
        <w:t>- a first market where the demand of consumers in an area meets the supply of hypermarkets accessible to them within less than 30 minutes by car and which are, from their point of view, substitutable with each other;</w:t>
        <w:br/>
        <w:t>- a second market where the demand of consumers meets the supply of supermarkets and equivalent forms of commerce located within less than 15 minutes by car. These latter forms of commerce may include, in addition to supermarkets, hypermarkets located near consumers and discount stores.</w:t>
      </w:r>
    </w:p>
    <w:p>
      <w:r>
        <w:t>15. In the case at hand, the store involved in the operation having a sales area of 2,416 m2, close to that of a hypermarket, the competitive analysis will focus on both markets, including the one encompassing all hypermarkets, supermarkets, and maxi-discount stores located within a catchment area of 15 minutes around Colmar and the one including hypermarkets situated within a 30-minute radius including the store involved in the present operation.</w:t>
      </w:r>
    </w:p>
    <w:p>
      <w:r>
        <w:t>B. UPSTREAM SUPPLY MARKETS</w:t>
        <w:br/>
        <w:t>16. Regarding the supply markets, the European Commission6 has recognized the existence of markets of national dimension by major product groups, a delimitation followed by national authorities7.</w:t>
      </w:r>
    </w:p>
    <w:p>
      <w:r>
        <w:t>17. There is no need to challenge this delimitation in the context of the present operation.</w:t>
      </w:r>
    </w:p>
    <w:p>
      <w:r>
        <w:t>III. Competitive Analysis</w:t>
        <w:br/>
        <w:t>18. Concerning the downstream market of predominantly food distribution, aside from the store involved, no other hypermarket, supermarket, or maxi-discount store operated under a brand belonging to the ITM Entreprises group is present in a catchment area of 15 minutes around Colmar.</w:t>
      </w:r>
    </w:p>
    <w:p>
      <w:r>
        <w:t>19. In the market including hypermarkets located within less than 30 minutes by car around Colmar, two points of sale operated under the Intermarché brand are added to the one involved in the operation. The stores under brands belonging to the ITM Entreprises group hold, before and after the operation, a market share of 14% in the area. They face strong competition in this market from the Leclerc group (42% cumulative market share), from the brands of the Provera group (29% cumulative market share), from the Système U group (10% cumulative market share), and from a Monoprix point of sale (5% market share).</w:t>
      </w:r>
    </w:p>
    <w:p>
      <w:r>
        <w:t>20. Regarding the upstream supply markets, the operation, which concerns only one store, is not likely to significantly strengthen the purchasing power of the ITM Entreprises group, across all products as well as by major product groups.</w:t>
      </w:r>
    </w:p>
    <w:p>
      <w:r>
        <w:t>The strengthening is even more minor since, prior to the operation, the target company was already sourcing [majority] through subsidiaries of ITM Entreprises.</w:t>
      </w:r>
    </w:p>
    <w:p>
      <w:r>
        <w:t>21. Consequently, the operation is not likely to harm competition both in the downstream market and in the upstream market of predominantly food distribution.</w:t>
      </w:r>
    </w:p>
    <w:p>
      <w:r>
        <w:t>DECIDES</w:t>
        <w:br/>
        <w:t>Sole Article: The operation notified under number 09-0137 is authorized.</w:t>
        <w:b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