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https://www.autoritedelaconcurrence.fr/fr/decision-de-controle-des-concentrations/relative-la-prise-de-controle-exclusif-de-la-societe-savoie</w:t>
      </w:r>
    </w:p>
    <w:p>
      <w:r>
        <w:t>Pages translated : 7</w:t>
      </w:r>
    </w:p>
    <w:p/>
    <w:p>
      <w:r>
        <w:rPr>
          <w:b/>
        </w:rPr>
        <w:t>[Pages 1–3]</w:t>
      </w:r>
    </w:p>
    <w:p>
      <w:r>
        <w:t xml:space="preserve">FRENCH REPUBLIC  </w:t>
        <w:br/>
        <w:t xml:space="preserve">Decision No. 18-DCC-51 of April 12, 2018  </w:t>
        <w:br/>
        <w:t>regarding the exclusive control of Savoie Métal Toiture SAS by Chequers Partenaires SA</w:t>
      </w:r>
    </w:p>
    <w:p>
      <w:r>
        <w:t xml:space="preserve">The Competition Authority,  </w:t>
        <w:br/>
        <w:t xml:space="preserve">Having regard to the notification file submitted in full to the merger service on March 7, 2018, regarding the exclusive control of Savoie Métal Toiture SAS by Chequers Partenaires SA, formalized by an acquisition contract dated February 22, 2018;  </w:t>
        <w:br/>
        <w:t xml:space="preserve">Having regard to Book IV of the Commercial Code relating to price freedom and competition, and in particular Articles L. 430-1 to L. 430-7 and R. 461-1;  </w:t>
        <w:br/>
        <w:t xml:space="preserve">Having regard to the supplementary elements transmitted by the parties during the investigation;  </w:t>
        <w:br/>
        <w:t>Adopts the following decision:</w:t>
      </w:r>
    </w:p>
    <w:p>
      <w:r>
        <w:t xml:space="preserve">I. The concerned companies and the operation  </w:t>
        <w:br/>
        <w:t xml:space="preserve">1. Chequers Partenaires SA (hereinafter "Chequers") is the management company of various venture capital funds that invest in medium-sized companies active in very diverse sectors1. Chequers particularly controls the Hild group, active in the supply and trading of roofing and chimney products in France. The group has three industrial sites located in Jebsheim (68), Thonon-les-Bains (74), and Colmar (68) where it manufactures sheet metal products for the construction of rainwater drainage systems (gutters, pipes, hooks, roof frames, etc.), sheet metal products for the construction of other roofing materials, and stainless steel products for the construction of smoke evacuation systems. The group also owns 18 sales outlets where it primarily distributes products manufactured by the group (roofing and chimney) but also products manufactured by third parties. The group also operates six sales outlets distributing products intended exclusively for smoke evacuation.  </w:t>
        <w:br/>
        <w:t>1 Such as hospitality, management of nursing homes, landscaping and maintenance of green spaces.</w:t>
      </w:r>
    </w:p>
    <w:p>
      <w:r>
        <w:t xml:space="preserve">2. Savoie Métal Toiture SAS (hereinafter "SMT") is a company specialized in the trading of roofing materials, selling products and accessories dedicated to rainwater drainage systems (gutters, pipes), roofing profiles, roofing accessories and laminates, coverings, slates, films and sealing elements, as well as equipment and tools dedicated to roofing and personal protective equipment dedicated to roofers. SMT owns 18 sales outlets specialized in the trading of roofing materials. More marginally, SMT also manufactures roofing materials (gutters, pipes, and accessories) at its factory in Saint-Jorioz (74).  </w:t>
        <w:br/>
        <w:t xml:space="preserve">3. The operation, formalized by an acquisition contract dated February 22, 2018, consists of Chequers acquiring the entirety of the share capital and voting rights of SMT. As it results in the exclusive control of SMT by Chequers, the notified operation constitutes a concentration within the meaning of Article L. 430-1 of the Commercial Code.  </w:t>
        <w:br/>
        <w:t>4. The concerned companies together achieve a total worldwide turnover excluding tax of more than 150 million euros (Chequers: […] euros for the fiscal year ending December 31, 2016; SMT: […] for the fiscal year ending December 31, 2016). Each of these companies has achieved a turnover in France exceeding 50 million euros (Chequers: […] euros for the fiscal year ending December 31, 2016; SMT: […] for the fiscal year ending December 31, 2016).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relevant markets  </w:t>
        <w:br/>
        <w:t xml:space="preserve">5. The parties are simultaneously active in the manufacturing and marketing of roofing materials2. They are also both present in the trading sector: upstream as buyers of roofing and waterproofing materials and downstream as traders in construction materials for professionals.  </w:t>
        <w:br/>
        <w:t xml:space="preserve">A. MARKETS FOR THE MANUFACTURING AND MARKETING OF ROOFING MATERIALS  </w:t>
        <w:br/>
        <w:t xml:space="preserve">1. PRODUCT MARKETS  </w:t>
        <w:br/>
        <w:t xml:space="preserve">6. French and European decision-making practice has identified a relevant market for the supply of roofing materials3. Within this market, it distinguishes between rainwater recovery systems and other roofing materials to the extent that the former have a specific use.  </w:t>
        <w:br/>
        <w:t xml:space="preserve">2 That is to say, the manufacturing of roofing materials intended for sale to third parties.  </w:t>
        <w:br/>
        <w:t>3 See the European Commission decision COMP/M.4450 of February 26, 2007, Umicore/Zinifex/Neptune and the decision of the Competition Authority No. 12-DCC-107 of August 13, 2012, regarding the acquisition of Savoie Métal Toiture SAS by Decaber SA.</w:t>
      </w:r>
    </w:p>
    <w:p>
      <w:r>
        <w:t xml:space="preserve">7. Competition authorities have also considered segmenting the market based on the material used (zinc, copper, etc.), while emphasizing that such segmentation was not always relevant4,5.  </w:t>
        <w:br/>
        <w:t>8. In this case, the question of the exact market delineation can, however, be left open, as the conclusions of the competitive analysis remain unchanged regardless of the segmentation considered.</w:t>
      </w:r>
    </w:p>
    <w:p>
      <w:r>
        <w:t xml:space="preserve">2. GEOGRAPHIC MARKETS  </w:t>
        <w:br/>
        <w:t xml:space="preserve">9. The European Commission has considered, while leaving the question open, that the markets for rainwater recovery systems and other roofing materials probably extend across the entire European Economic Area, insofar as they are sold throughout the European Union, or even beyond, even if there are national preferences6.  </w:t>
        <w:br/>
        <w:t xml:space="preserve">10. In its decisions regarding concentration operations, the Competition Authority, while leaving the question open, has conducted the analysis at the national level on the markets for products intended for roofing and smoke evacuation, a hypothesis then deemed the most conservative7,8.  </w:t>
        <w:br/>
        <w:t>11. The question of the exact market delineation can, however, be left open, as the conclusions of the competitive analysis remain unchanged regardless of the segmentation considered.</w:t>
      </w:r>
    </w:p>
    <w:p>
      <w:r>
        <w:t xml:space="preserve">B. UPSTREAM MARKETS FOR THE SUPPLY OF CONSTRUCTION MATERIALS  </w:t>
        <w:br/>
        <w:t xml:space="preserve">1. PRODUCT MARKETS  </w:t>
        <w:br/>
        <w:t xml:space="preserve">12. Regarding the supply of construction materials, the decision-making practice of competition authorities distinguishes as many markets as there are families of products9. Indeed, the structure of supply, pricing dynamics, or manufacturing constraints can vary significantly from one product family to another.  </w:t>
        <w:br/>
        <w:t xml:space="preserve">4 See the aforementioned European Commission decision COMP/M.4450 and the decision of the Competition Authority No. 16-DCC-28 of February 22, 2016, regarding the exclusive control of Bois &amp; Matériaux SAS and Guimier SAS by OpenGate Capital Management Europe SARL.  </w:t>
        <w:br/>
        <w:t xml:space="preserve">5 In a recent decision regarding anti-competitive practices (decision No. 16-D-14), the Competition Authority considered that two relevant product markets should be distinguished: zinc roofing products and products for the construction of rainwater drainage systems (hereinafter "EEP") in zinc. The question of whether other materials (for example, specifically, copper, stainless steel, or aluminum) should be included remained open.  </w:t>
        <w:br/>
        <w:t xml:space="preserve">6 See the aforementioned European Commission decision COMP/M.4450.  </w:t>
        <w:br/>
        <w:t xml:space="preserve">7 See the decisions of the Competition Authority No. 16-DCC-28 and No. 12-DCC-107 mentioned above. In its aforementioned decision No. 16-D-14 regarding anti-competitive practices in the zinc sector, the Authority retained a national dimension for the market for products intended for roofing and for products and accessories serving the zinc EEP.  </w:t>
        <w:br/>
        <w:t xml:space="preserve">8 In its aforementioned decision No. 16-D-14 regarding anti-competitive practices in the zinc sector, the Authority retained a national dimension for the market for products intended for roofing and for products and accessories serving the zinc EEP.  </w:t>
        <w:br/>
        <w:t>9 See notably the letter from the Minister of Economy C2006-21 of March 13, 2006, to the councils of Wolseley, regarding a concentration in the construction materials sector and the decisions of the Competition Authority No. 17-DCC-174 of October 24, 2017, regarding the exclusive control of Financière BFSA by Établissement Ciffréo et Bona, No. 13-DCC-96 of July 23, 2013, regarding the exclusive control of Chausson matériaux of 88 business assets held by Wolseley France, No. 09-DCC-11 of June 2, 2009, regarding the exclusive control of FDE by the SAMSE group.</w:t>
      </w:r>
    </w:p>
    <w:p>
      <w:r>
        <w:rPr>
          <w:b/>
        </w:rPr>
        <w:t>[Pages 4–6]</w:t>
      </w:r>
    </w:p>
    <w:p>
      <w:r>
        <w:t>13. In this case, the products simultaneously distributed by the parties belong to the "roofing and waterproofing" family.</w:t>
      </w:r>
    </w:p>
    <w:p>
      <w:r>
        <w:t>14. The exact delineation of these markets can, however, be left open insofar as, regardless of the segmentation chosen, the conclusions of the competitive analysis remain unchanged.</w:t>
      </w:r>
    </w:p>
    <w:p>
      <w:r>
        <w:t>2. GEOGRAPHIC MARKETS</w:t>
      </w:r>
    </w:p>
    <w:p>
      <w:r>
        <w:t>15. Decision-making practice considers at least a national dimension for the markets of construction materials supply.</w:t>
      </w:r>
    </w:p>
    <w:p>
      <w:r>
        <w:t>16. In this case, the analysis will be conducted at the national level. However, the conclusions of the competitive analysis remain unchanged for markets of supranational dimension.</w:t>
      </w:r>
    </w:p>
    <w:p>
      <w:r>
        <w:t>C. DOWNSTREAM MARKETS FOR THE TRADING OF CONSTRUCTION MATERIALS</w:t>
      </w:r>
    </w:p>
    <w:p>
      <w:r>
        <w:t>1. PRODUCT MARKETS</w:t>
      </w:r>
    </w:p>
    <w:p>
      <w:r>
        <w:t>17. The trading of construction materials is defined as "a traditional activity through which traders sell from stock all the materials necessary for construction companies." This activity consists of wholesaling a wide assortment of materials that, although not substitutable for one another, are nevertheless necessary and often associated to carry out a construction project.</w:t>
      </w:r>
    </w:p>
    <w:p>
      <w:r>
        <w:t>18. The materials thus marketed are primarily intended for professionals, which implies specificities in the organization of product distribution as well as in the breadth and depth of the ranges of materials offered. This market is thus distinguished from the distribution of DIY materials in that the offer of traders is primarily aimed at professionals and not at individuals, unlike large DIY stores.</w:t>
      </w:r>
    </w:p>
    <w:p>
      <w:r>
        <w:t>19. In this case, the parties have a clientele composed almost exclusively of professionals and operate trading outlets.</w:t>
      </w:r>
    </w:p>
    <w:p>
      <w:r>
        <w:t>20. Within the trading of construction materials, the decision-making practice of the Authority has distinguished between "generalist" traders and "specialist" traders based on the depth of the range of materials distributed. Thus, the offer of "generalist" traders covers a complete assortment of product ranges and is aimed at all actors in the construction sector. "Specialist" traders, whose offer is centered on a family of products, for their part offer deeper ranges and more advanced expertise on specific product lines, aimed at more specific professionals.</w:t>
      </w:r>
    </w:p>
    <w:p>
      <w:r>
        <w:t>21. Within specialist trading, for example, decision-making practice has considered that the specialized trading of sanitary, heating, and air conditioning products (hereinafter "SACHA") constitutes a distinct market.</w:t>
      </w:r>
    </w:p>
    <w:p>
      <w:r>
        <w:t>22. The parties to the operation are both specialist traders in roofing materials, each having 18 distribution agencies. The question of the existence of a market for specialists in roofing materials has already been raised by decision-making practice without, however, being resolved.</w:t>
      </w:r>
    </w:p>
    <w:p>
      <w:r>
        <w:t>23. Just as with the trading of SACHA products for which a distinct market has been recognized by decision-making practice, a segment relating to the trading of roofing materials alone could be considered.</w:t>
      </w:r>
    </w:p>
    <w:p>
      <w:r>
        <w:t>24. The exact delineation of these markets can, however, be left open insofar as, regardless of the segmentation chosen, the conclusions of the competitive analysis remain unchanged.</w:t>
      </w:r>
    </w:p>
    <w:p>
      <w:r>
        <w:t>2. GEOGRAPHIC MARKETS</w:t>
      </w:r>
    </w:p>
    <w:p>
      <w:r>
        <w:t>25. The decision-making practice of competition authorities considers that the market for the trading of construction materials is of local dimension, with professionals in the construction sector primarily making their purchases close to their area of intervention. In practice, the distances traveled by buyers of construction materials vary depending on the degree of specialization of the relevant point of sale. The decision-making practice of competition authorities has thus retained catchment areas with a radius of at most 50 kilometers around the point of sale for generalist traders and approximately 50 to 75 kilometers around the point of sale for specialist traders.</w:t>
      </w:r>
    </w:p>
    <w:p>
      <w:r>
        <w:t>26. The actual behavior of consumers in a given area can, however, be specified with data collected by the points of sale on the actual location of their customers. It is generally considered that the catchment area of a point of sale can be limited to that which encompasses customers representing 80% of the point of sale's turnover or 80% of the point of sale's customers, depending on the available data. The remainder is considered as occasional and insignificant clientele, sometimes very far from the point of sale.</w:t>
      </w:r>
    </w:p>
    <w:p>
      <w:r>
        <w:t>27. In this case, the notifying party studied the local market for specialized roofing materials trading within a radius of 50 to 75 km around each target trading point of sale.</w:t>
      </w:r>
    </w:p>
    <w:p>
      <w:r>
        <w:t>28. The notifying party refined the analysis by also examining a specific catchment area for each point of sale based on the actual location of customers representing 80% of its turnover.</w:t>
      </w:r>
    </w:p>
    <w:p>
      <w:r>
        <w:t>III. Competitive Analysis</w:t>
      </w:r>
    </w:p>
    <w:p>
      <w:r>
        <w:t>A. MARKETS FOR THE MANUFACTURE AND MARKETING OF ROOFING MATERIALS</w:t>
      </w:r>
    </w:p>
    <w:p>
      <w:r>
        <w:t>29. In the overall market for the manufacture and marketing of roofing materials, the market share of the new entity is approximately [0-5]%.</w:t>
      </w:r>
    </w:p>
    <w:p>
      <w:r>
        <w:t>30. Furthermore, regardless of the segmentation considered within this market, the cumulative market share of the parties amounts to a maximum of [10-20%] with an increment of [0-5%]. This maximum market share is observed in the segment considered for the manufacture and marketing of zinc roofing materials. The new entity will face competition from major groups such as Fedrus, Rheinzink, and Imerys.</w:t>
      </w:r>
    </w:p>
    <w:p>
      <w:r>
        <w:t>31. The operation is therefore not likely to harm competition through horizontal effects in these markets.</w:t>
      </w:r>
    </w:p>
    <w:p>
      <w:r>
        <w:t>B. UPSTREAM MARKETS FOR THE SUPPLY OF CONSTRUCTION MATERIALS</w:t>
      </w:r>
    </w:p>
    <w:p>
      <w:r>
        <w:t>32. In the upstream market for the supply of roofing and waterproofing materials, the new entity will hold a market share of less than [0-5%].</w:t>
      </w:r>
    </w:p>
    <w:p>
      <w:r>
        <w:t>33. Consequently, the operation is not likely to harm competition through horizontal effects in this market.</w:t>
      </w:r>
    </w:p>
    <w:p>
      <w:r>
        <w:t>C. DOWNSTREAM MARKETS FOR SPECIALIST TRADING OF CONSTRUCTION MATERIALS</w:t>
      </w:r>
    </w:p>
    <w:p>
      <w:r>
        <w:t>34. The operation results in overlaps in activity between the parties in nine catchment areas defined around the SMT agencies located in Colomiers (31), Bordeaux (33), Villars (42), Villefranche-sur-Saône (69), La Motte-Servolex (73), Seynod (74), Coignières (78), Bondoufle (91), and Champigny-sur-Marne (94).</w:t>
      </w:r>
    </w:p>
    <w:p>
      <w:r>
        <w:t>35. Regardless of the area considered, the method chosen (isochrone area or actual footprints) and the segmentation envisaged, the market share of the new entity will always remain</w:t>
      </w:r>
    </w:p>
    <w:p>
      <w:r>
        <w:rPr>
          <w:b/>
        </w:rPr>
        <w:t>[Pages 7–7]</w:t>
      </w:r>
    </w:p>
    <w:p>
      <w:r>
        <w:t>lower than [20-30%], with a maximum increment of [5-10%]. Furthermore, in each of these areas, there will remain at least two national or multi-regional competitors.</w:t>
      </w:r>
    </w:p>
    <w:p>
      <w:r>
        <w:t>36. Consequently, the operation is not likely to harm competition through horizontal effects in these markets.</w:t>
      </w:r>
    </w:p>
    <w:p>
      <w:r>
        <w:t>DECIDES</w:t>
      </w:r>
    </w:p>
    <w:p>
      <w:r>
        <w:t>Sole Article: The operation notified under number 18-001 is authorized.</w:t>
      </w:r>
    </w:p>
    <w:p>
      <w:r>
        <w:t>The President,</w:t>
      </w:r>
    </w:p>
    <w:p>
      <w:r>
        <w:t>Isabelle de Silva</w:t>
      </w:r>
    </w:p>
    <w:p>
      <w: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