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https://www.autoritedelaconcurrence.fr/fr/decision-de-controle-des-concentrations/relative-la-prise-de-controle-exclusif-de-la-societe-sbfm</w:t>
      </w:r>
    </w:p>
    <w:p>
      <w:r>
        <w:t>Pages translated : 4</w:t>
      </w:r>
    </w:p>
    <w:p/>
    <w:p>
      <w:r>
        <w:rPr>
          <w:b/>
        </w:rPr>
        <w:t>[Pages 1–3]</w:t>
      </w:r>
    </w:p>
    <w:p>
      <w:r>
        <w:t xml:space="preserve">FRENCH REPUBLIC  </w:t>
        <w:br/>
        <w:t xml:space="preserve">Decision No. 10-DCC-91 of September 3, 2010  </w:t>
        <w:br/>
        <w:t xml:space="preserve">regarding the exclusive control of the company SBFM by the company  </w:t>
        <w:br/>
        <w:t>Renault S.A.S</w:t>
      </w:r>
    </w:p>
    <w:p>
      <w:r>
        <w:t xml:space="preserve">The Competition Authority,  </w:t>
        <w:br/>
        <w:t xml:space="preserve">Having regard to the notification file sent to the merger service on September 21, 2009,  </w:t>
        <w:br/>
        <w:t xml:space="preserve">declared complete on August 3, 2010, regarding the exclusive control of the company SBFM by the  </w:t>
        <w:br/>
        <w:t xml:space="preserve">company Renault S.A.S;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A. THE COMPANIES  </w:t>
        <w:br/>
        <w:t xml:space="preserve">1. The company Renault S.A.S is a 100% subsidiary of the company Renault S.A, the parent company of  </w:t>
        <w:br/>
        <w:t xml:space="preserve">the Renault group. The Renault group’s main activities are the design, manufacture, and  </w:t>
        <w:br/>
        <w:t xml:space="preserve">marketing of utility vehicles as well as vehicles for individuals. The capital of the company Renault S.A is held 15.01% by the French State, 15% by Nissan France, 3.34% by its employees, and 63.57% by the public, the remainder being self-held. The total worldwide turnover excluding taxes achieved by the Renault group in 2008 amounts to 37.79 billion euros, of which 27.65 billion euros in the European Union and 13 billion euros in France.  </w:t>
        <w:br/>
        <w:t>2. The Société Bretonne de Fonderie et de Mécanique (“SBFM”), specialized in cast iron foundry, produces parts intended for the automotive industry, primarily exhaust manifolds. Formerly a subsidiary of the Renault group (until 1998), SBFM was, prior to the present operation, wholly owned by the company Zen France, it being specified that due to its financial difficulties, the direct management of SBFM has been entrusted since February 24, 2009, to judicial administrators. The total worldwide turnover excluding taxes achieved by the company SBFM in 2008 amounts to 72.6 million euros, entirely realized within the European Union, with 44 million euros in France.</w:t>
      </w:r>
    </w:p>
    <w:p>
      <w:r>
        <w:t xml:space="preserve">B. THE OPERATION  </w:t>
        <w:br/>
        <w:t xml:space="preserve">3. By judgment dated November 28, 2008, the Commercial Court of Lyon opened a judicial reorganization procedure for the benefit of SBFM. In this context, the company Renault S.A.S presented an offer dated September 28, 2009, defining the assets it proposed to acquire. By judgment dated September 29, 2009, the Commercial Court of Lyon approved, in favor of Renault S.A.S, a plan for the transfer of SBFM's assets.  </w:t>
        <w:br/>
        <w:t xml:space="preserve">* * *  </w:t>
        <w:br/>
        <w:t>4. As it results in the exclusive control of the company SBFM by the Renault group, the notified operation constitutes a concentration within the meaning of Article L. 430-1 of the Commercial Code. Given the turnover of the companies concerned, it does not have a community dimension. On the other hand, the control thresholds mentioned in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5. In light of the activities carried out by the parties, the present operation entails an overlap in the market for spare parts produced by cast iron foundry intended for the automotive industry.  </w:t>
        <w:br/>
        <w:t xml:space="preserve">A. DEFINITION OF PRODUCT MARKETS  </w:t>
        <w:br/>
        <w:t xml:space="preserve">6. In its decision No. 09-DCC-08, the Competition Authority noted, following previous decision-making practice, that in the case of spare parts, each type of part can constitute a relevant market. The Minister of Economy has, for his part, made a similar observation in the specific case of the automotive industry.  </w:t>
        <w:br/>
        <w:t xml:space="preserve">7. The Competition Authority also questioned, while leaving the question open, a possible segmentation of the spare parts market according to the manufacturing technique, the sector of activity of the customers, and the metal used.  </w:t>
        <w:br/>
        <w:t xml:space="preserve">1 See notably the letter from the Minister of Economy No. C2007-135 of November 26, 2007.  </w:t>
        <w:br/>
        <w:t xml:space="preserve">2 See the letter from the Minister of Economy No. C2007-149 of January 4, 2008.  </w:t>
        <w:br/>
        <w:t>3 See the aforementioned decision of the Competition Authority No. 09-DCC-08.</w:t>
      </w:r>
    </w:p>
    <w:p>
      <w:r>
        <w:t xml:space="preserve">8. In this case, SBFM specializes in the production of exhaust manifold parts for the automotive industry through a cast iron foundry process. The Renault group, for its part, is also present in the market for spare parts obtained by foundry through its companies La Fonderie Normande and Auto Chassis International (hereinafter "ACI"). However, the Renault group does not produce exhaust manifold parts, and only the ACI company uses cast iron for the production of its parts.  </w:t>
        <w:br/>
        <w:t xml:space="preserve">9. Consequently, the analysis of the potential horizontal effects brought about by the operation will be conducted on the market for automotive parts obtained by cast iron foundry.  </w:t>
        <w:br/>
        <w:t xml:space="preserve">10. Insofar as the Renault group is also present in the downstream market of vehicle production, the specific segment of exhaust manifold parts obtained through a cast iron foundry process will be analyzed, for its part, in terms of vertical effects.  </w:t>
        <w:br/>
        <w:t>11. In the absence of competitive issues, the question of the exact delimitation of the spare parts market can be left open.</w:t>
      </w:r>
    </w:p>
    <w:p>
      <w:r>
        <w:t xml:space="preserve">B. DEFINITION OF GEOGRAPHICAL MARKETS  </w:t>
        <w:br/>
        <w:t xml:space="preserve">12. In the matter of automotive spare parts, decision-making practice has consistently considered that the markets were at least of community dimension insofar as manufacturers of automotive parts operate throughout Europe and there are no technical standards or other regulatory barriers to trade within the European Economic Area, nor customs barriers between member states.  </w:t>
        <w:br/>
        <w:t>13. There is no reason to challenge this delimitation in the context of the present operation.</w:t>
      </w:r>
    </w:p>
    <w:p>
      <w:r>
        <w:t xml:space="preserve">III. Competitive analysis  </w:t>
        <w:br/>
        <w:t xml:space="preserve">A. ANALYSIS OF HORIZONTAL EFFECTS  </w:t>
        <w:br/>
        <w:t xml:space="preserve">14. In the European market for automotive parts obtained by cast iron foundry, the estimated market shares of SBFM and the Renault group are both below 5%. Thus, following the operation, the market share of the notifying party will remain below 10%. The Renault group will continue to face competition from groups such as Teksid, Infun, and Wescast.  </w:t>
        <w:br/>
        <w:t xml:space="preserve">15. In light of the above, the present operation is not likely to harm competition through horizontal effects in the market for spare parts obtained by cast iron foundry.  </w:t>
        <w:br/>
        <w:t xml:space="preserve">4 See notably the decision of the Competition Authority No. 09-DCC-34 of August 7, 2009.  </w:t>
        <w:br/>
        <w:t>5 Data from 2008, obtained by the parties from the professional organization Fondeurs de France.</w:t>
      </w:r>
    </w:p>
    <w:p>
      <w:r>
        <w:rPr>
          <w:b/>
        </w:rPr>
        <w:t>[Pages 4–4]</w:t>
      </w:r>
    </w:p>
    <w:p>
      <w:r>
        <w:t>B. ANALYSIS OF VERTICAL EFFECTS</w:t>
      </w:r>
    </w:p>
    <w:p>
      <w:r>
        <w:t>16. The decision-making practice of competition authorities generally dismisses the risks of harm to competition through vertical effects when the market share of the concerned companies in the considered markets does not exceed 30%6.</w:t>
      </w:r>
    </w:p>
    <w:p>
      <w:r>
        <w:t>17. In this case, in the European market for exhaust manifold parts obtained through a cast iron foundry process, the estimated market share7 of SBFM is 14%. Furthermore, the Renault group was already sourcing from SBFM prior to the operation for a total volume representing 60% of SBFM's production.</w:t>
      </w:r>
    </w:p>
    <w:p>
      <w:r>
        <w:t>18. In light of the above, the present operation is not likely to harm competition through vertical effects.</w:t>
      </w:r>
    </w:p>
    <w:p>
      <w:r>
        <w:t>DECIDES</w:t>
      </w:r>
    </w:p>
    <w:p>
      <w:r>
        <w:t>Sole Article: The operation notified under number 09-0088 is authorized.</w:t>
      </w:r>
    </w:p>
    <w:p>
      <w:r>
        <w:t xml:space="preserve">The President,  </w:t>
        <w:br/>
        <w:t xml:space="preserve">Bruno Lasserre  </w:t>
        <w:br/>
        <w:t xml:space="preserve">Competition Authority  </w:t>
        <w:br/>
        <w:t xml:space="preserve">6 See the Guidelines of the Competition Authority regarding the control of concentrations, paragraph 400.  </w:t>
        <w:br/>
        <w:t>7 Based on a European market estimated by the parties at 23.52 million units in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