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https://www.autoritedelaconcurrence.fr/fr/decision-de-controle-des-concentrations/relative-la-prise-de-controle-exclusif-de-la-societe-sc-inv</w:t>
      </w:r>
    </w:p>
    <w:p>
      <w:r>
        <w:t>Pages translated : 7</w:t>
      </w:r>
    </w:p>
    <w:p/>
    <w:p>
      <w:r>
        <w:rPr>
          <w:b/>
        </w:rPr>
        <w:t>[Pages 1–3]</w:t>
      </w:r>
    </w:p>
    <w:p>
      <w:r>
        <w:t xml:space="preserve">FRENCH REPUBLIC  </w:t>
        <w:br/>
        <w:t xml:space="preserve">Decision No. 15-DCC-29 of March 19, 2015  </w:t>
        <w:br/>
        <w:t xml:space="preserve">regarding the exclusive control of the company SC Inv by the  </w:t>
        <w:br/>
        <w:t>company SAMSE</w:t>
      </w:r>
    </w:p>
    <w:p>
      <w:r>
        <w:t xml:space="preserve">The Competition Authority,  </w:t>
        <w:br/>
        <w:t xml:space="preserve">Having regard to the notification file sent to the merger service on January 15, 2015, and declared complete on February 13, 2015, regarding the exclusive control of the company SC Inv by the company SAMSE, formalized by a share transfer agreement dated September 17, 2014;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SAMSE is the parent company of the SAMSE group active in the general and specialized trading sectors of construction materials through a network of over 200 agencies, mainly located in the Rhône-Alpes, Alsace, Auvergne, Burgundy, Centre, Champagne-Ardenne, Franche-Comté, Provence-Alpes-Côte d’Azur, Languedoc-Roussillon, Midi-Pyrénées, and Aquitaine regions. The SAMSE group is also active in the distribution of DIY materials under the brands La Boîte à Outils, Entrepôt du Bricolage, Des Idées, and EDB. The company SAMSE is controlled by Dumont Investissement, which holds 50.4% of its capital and is itself controlled by the employees of SAMSE. The company CRH France Distribution holds 21.1% of the capital of SAMSE, and the remaining 28.5% of the capital of SAMSE corresponds to shares listed on Euronext.  </w:t>
        <w:br/>
        <w:t>SAMSE also holds 33.99% of the capital and voting rights of Plattard SAS, a company at the head of a group active in the market for the distribution of wood and tiles, as well as in the trading of construction materials. Given the provisions of the statutes and the shareholders' agreement of this company, SAMSE does not exercise any decisive influence over it.</w:t>
      </w:r>
    </w:p>
    <w:p>
      <w:r>
        <w:t xml:space="preserve">2. The company SC Inv, which holds 100% of the capital of the company Doras, is at the head of the Doras group. The company SC Inv is jointly controlled by the companies SAMSE and CRH France, which hold 55% and 45% of the capital of SC Inv, respectively. The Doras group is primarily active in the general trading sector of construction materials through a network of 54 agencies under the Doras brand, as well as one agency under the Claude Matériaux brand. The Doras group is also present in the specialized trading of wood (with three agencies under the Cléau brand and two agencies under the Les Comptoirs du Bois brand) and in the specialized trading of tiles (via three agencies under the Careo brand).  </w:t>
        <w:br/>
        <w:t xml:space="preserve">3. The operation, formalized by a share transfer agreement dated September 17, 2014, consists of the acquisition by SAMSE of CRH France's stake in the capital of SC Inv. SAMSE will therefore hold 100% of the capital of SC Inv at the end of the operation. As it results in the transition from joint control of SC Inv by SAMSE and CRH to exclusive control by SAMSE, the notified operation constitutes a concentration operation within the meaning of Article L. 430-1 of the Commercial Code.  </w:t>
        <w:br/>
        <w:t>4. The concerned companies together achieve a total worldwide turnover of over 150 million euros (SAMSE group: 941.3 million euros for the fiscal year ending December 31, 2013; Doras group: 237.6 million euros for the same fiscal year). At least two of these companies achieve a turnover in France exceeding 50 million euros (SAMSE group: 938.5 million euros for the fiscal year ending December 31, 2013; Doras group: 236.9 million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5. The parties to this operation are simultaneously active in the sector of construction materials distribution. In this sector, the parties are present both upstream, as buyers of materials from manufacturers, and downstream in the market for the distribution of construction materials.  </w:t>
        <w:br/>
        <w:t>See the European Commission decision COMP/M.3313 of December 10, 2003, CRH/SAMSE/DORAS. Under a shareholders' agreement signed between SAMSE and CRH, the company SC Inv "is the coordinating body desired by (SAMSE and CRH) to ensure the implementation of their objectives." Any strategic decision concerning SC Inv, Doras, or its subsidiaries must be submitted to the competent body of SC Inv (notably the president, general director, management committee). In particular, a management committee established within SC Inv and composed equally of members presented by SAMSE and by CRH must decide, by a three-quarters majority of its members, on the strategic decisions of SC Inv and its subsidiaries (notably hiring directors, validating the annual budget, adopting the business plan, adopting the strategic plan of the target group, investment policy).</w:t>
      </w:r>
    </w:p>
    <w:p>
      <w:r>
        <w:t xml:space="preserve">A. UPSTREAM MARKETS FOR THE SUPPLY OF CONSTRUCTION MATERIALS  </w:t>
        <w:br/>
        <w:t xml:space="preserve">1. DELIMITATION BY PRODUCTS  </w:t>
        <w:br/>
        <w:t xml:space="preserve">6. The parties purchase, from various producers, the construction materials they distribute.  </w:t>
        <w:br/>
        <w:t xml:space="preserve">7. Regarding the supply of construction materials, decision-making practice distinguishes as many markets as there are product families. The structure of supply, pricing dynamics, or manufacturing constraints can indeed vary significantly from one product family to another. In the present case, the different products distributed by the parties belong to the following families:  </w:t>
        <w:br/>
        <w:t xml:space="preserve">- structural work and masonry;  </w:t>
        <w:br/>
        <w:t xml:space="preserve">- roofing and waterproofing;  </w:t>
        <w:br/>
        <w:t xml:space="preserve">- wood and panels;  </w:t>
        <w:br/>
        <w:t xml:space="preserve">- interior and exterior joinery;  </w:t>
        <w:br/>
        <w:t xml:space="preserve">- plastering, ceilings, insulation;  </w:t>
        <w:br/>
        <w:t xml:space="preserve">- partitions and ceilings;  </w:t>
        <w:br/>
        <w:t xml:space="preserve">- insulation;  </w:t>
        <w:br/>
        <w:t xml:space="preserve">- tools and hardware;  </w:t>
        <w:br/>
        <w:t xml:space="preserve">- sanitary;  </w:t>
        <w:br/>
        <w:t xml:space="preserve">- tiles;  </w:t>
        <w:br/>
        <w:t xml:space="preserve">- heating;  </w:t>
        <w:br/>
        <w:t xml:space="preserve">- paint and treatment;  </w:t>
        <w:br/>
        <w:t xml:space="preserve">- garden and environment;  </w:t>
        <w:br/>
        <w:t xml:space="preserve">- outdoor arrangements.  </w:t>
        <w:br/>
        <w:t>8. However, it is not necessary to precisely segment these different markets insofar as, regardless of the delineation of the product families retained, the conclusions of the competitive analysis will remain unchanged.</w:t>
      </w:r>
    </w:p>
    <w:p>
      <w:r>
        <w:t xml:space="preserve">2. GEOGRAPHICAL DELIMITATION  </w:t>
        <w:br/>
        <w:t xml:space="preserve">9. Regarding the markets for the supply of construction materials, decision-making practice retains, at a minimum, a national dimension. The European Commission has thus emphasized that, in such markets, competition among the main suppliers, whether in terms of marketing strategy, commercial policy, or the location of points of sale, operates at the national level.  </w:t>
        <w:br/>
        <w:t xml:space="preserve">10. In the present case, regarding the markets for the supply of construction materials, the analysis will be conducted at the national level. The question of the exact delimitation  </w:t>
        <w:br/>
        <w:t xml:space="preserve">See in particular the decisions of the Competition Authority No. 13-DCC-96 of July 23, 2013, regarding the exclusive control by Chausson Matériaux of 88 business assets held by Wolseley France and No. 09-DCC-11 of June 2, 2009, regarding the exclusive control of the company FDE by the SAMSE group. See the letters from the Minister of Economy No. C1006-21 of March 13, 2006, to the advisors of the company Wolseley, regarding a concentration in the construction materials sector, No. 2003-212 to the advisors of the company Point P SA, regarding a concentration in the construction materials sector, and the letter from the Minister of Economy dated July 31, 2003, regarding the Point P/Dubois operation published in the BOCCRF of October 1, 2003.  </w:t>
        <w:br/>
        <w:t>4 See in particular the European Commission decision COMP/M.1873 of March 23, 2000, Compagnie de Saint Gobain/Meyer International and decision No. 14-DCC-10 of January 28, 2014, regarding the exclusive control by Point P of five points of sale held by Wolseley France Bois et Matériaux.</w:t>
      </w:r>
    </w:p>
    <w:p>
      <w:r>
        <w:rPr>
          <w:b/>
        </w:rPr>
        <w:t>[Pages 4–6]</w:t>
      </w:r>
    </w:p>
    <w:p>
      <w:r>
        <w:t>the markets may remain open insofar as, regardless of the chosen delineation, the conclusions of the competitive analysis remain unchanged.</w:t>
      </w:r>
    </w:p>
    <w:p>
      <w:r>
        <w:t>B. DOWNSTREAM MARKETS FOR THE TRADING OF CONSTRUCTION MATERIALS</w:t>
      </w:r>
    </w:p>
    <w:p>
      <w:r>
        <w:t>1. DELINEATION BY PRODUCTS</w:t>
      </w:r>
    </w:p>
    <w:p>
      <w:r>
        <w:t>11. The trading of construction materials is defined as "a traditional activity whereby traders sell from stock all the materials necessary for construction companies." This activity involves supplying a wide assortment of materials in bulk which, although not substitutable for one another, are nonetheless necessary and often associated for carrying out a construction project.</w:t>
      </w:r>
    </w:p>
    <w:p>
      <w:r>
        <w:t>12. The trader acts as an intermediary between the manufacturers, producers of the products, and the installers who often perform their activities at the local level. The materials thus marketed are primarily intended for professionals, which implies specificities in the organization of product distribution as well as in the breadth and depth of the ranges of materials offered. This market is thus distinguished from the distribution of DIY materials, in that the offer of traders is primarily aimed at professionals and not at individuals, unlike large DIY stores ("GSS"). In this case, the parties have a clientele composed almost exclusively of professionals.</w:t>
      </w:r>
    </w:p>
    <w:p>
      <w:r>
        <w:t>13. Within the trading of construction materials, decision-making practice has established a distinction between "generalist" traders and "specialist" traders based on the depth of the range of materials distributed. Thus, the offer of "generalist" traders covers a complete assortment of product ranges and addresses all downstream players in the construction sector. "Specialist" traders, whose offer is centered on a family of products, provide deeper ranges and more advanced expertise on specific product lines, targeting more specific professionals. Decision-making practice has, for example, considered that the specialized trading of sanitary and heating products and the specialized trading of electrical products constituted distinct markets. The question of the existence of a market for specialized wood trading and specialized tile trading has already been raised by decision-making practice, without being resolved. This question may be left open in the present case insofar as, regardless of the definition adopted, the conclusions of the analysis will remain unchanged.</w:t>
      </w:r>
    </w:p>
    <w:p>
      <w:r>
        <w:t>14. The parties to the operation are simultaneously present in both generalist trading and specialized trading of wood and tiles. The following markets will therefore be considered in the context of the competitive analysis: (i) the market for generalist construction materials trading; (ii) the market for specialized wood trading; (iii) the market for specialized tile trading; (iv) the market for wood distribution, including sales made by generalist traders and specialist wood traders; (v) the market for tile distribution, including sales made by generalist traders and specialist tile traders.</w:t>
      </w:r>
    </w:p>
    <w:p>
      <w:r>
        <w:t>2. GEOGRAPHICAL DELINEATION</w:t>
      </w:r>
    </w:p>
    <w:p>
      <w:r>
        <w:t>15. Decision-making practice considers that the market for construction materials trading is of a local dimension, with professionals in the construction sector primarily making their purchases close to their area of operation. In practice, the distances traveled by buyers of construction materials vary depending on the degree of specialization of the relevant point of sale. Consequently, decision-making practice has considered that the relevant catchment areas from a competitive analysis perspective extend to a radius of 50 km at most around the point of sale for generalist traders and approximately 50 to 75 km around the point of sale for specialist traders.</w:t>
      </w:r>
    </w:p>
    <w:p>
      <w:r>
        <w:t>16. The actual behavior of consumers in a given area can, however, be specified with data collected by the points of sale on the actual location of their customers. It is generally considered that the catchment area of a point of sale can be limited to that which encompasses customers representing 80% of the point of sale's turnover or 80% of the point of sale's customers, depending on the available data. The remainder is considered as occasional and insignificant clientele, sometimes indeed very distant from the point of sale.</w:t>
      </w:r>
    </w:p>
    <w:p>
      <w:r>
        <w:t>17. In the present case, the notifying party identified, around each target point of sale for generalist trading, an area corresponding to a maximum travel distance of 50 kilometers, and around each point of sale for specialized trading, an area corresponding to a maximum travel distance of 70 kilometers. For each area thus delineated where an overlap of activity was observed, the notifying party refined the analysis by proposing, when it had the necessary data, a catchment area including the closest municipalities to the relevant store and allowing for the capture of 80% of its sales. This catchment area encompasses all municipalities located within the 80% footprint, even if no customer is located in one or more of these municipalities, the existence of discontinuities not being justified from a competitive analysis perspective.</w:t>
      </w:r>
    </w:p>
    <w:p>
      <w:r>
        <w:t>III. Competitive Analysis</w:t>
      </w:r>
    </w:p>
    <w:p>
      <w:r>
        <w:t>A. ANALYSIS OF THE EFFECTS OF THE OPERATION ON UPSTREAM MARKETS FOR THE SUPPLY OF CONSTRUCTION MATERIALS</w:t>
      </w:r>
    </w:p>
    <w:p>
      <w:r>
        <w:t>18. In the upstream markets, the new entity will hold a market share that will remain below [0-5]% regardless of the segmentation considered.</w:t>
      </w:r>
    </w:p>
    <w:p>
      <w:r>
        <w:t>19. The parties have a large number of suppliers (approximately 700) in common. They indicate that they generally represent less than [5-10]% of their turnover. Furthermore, within the construction materials trading sector, there are numerous competitors of SAMSE and Doras likely to provide alternative outlets for their suppliers (notably the groups Point P, Wolseley, Gedimat, or Bigmat).</w:t>
      </w:r>
    </w:p>
    <w:p>
      <w:r>
        <w:t>20. Moreover, prior to the operation, SAMSE was already acting as an agent for Doras in negotiating 90% of the construction materials purchased by Doras from its suppliers, such that the operation will only result in a limited increase in the bargaining power of SAMSE and Doras with respect to their suppliers.</w:t>
      </w:r>
    </w:p>
    <w:p>
      <w:r>
        <w:t>21. Consequently, the operation is not likely to harm competition in the upstream markets for the supply of construction materials.</w:t>
      </w:r>
    </w:p>
    <w:p>
      <w:r>
        <w:t>B. ANALYSIS OF THE EFFECTS OF THE OPERATION ON DOWNSTREAM MARKETS FOR THE TRADING OF CONSTRUCTION MATERIALS</w:t>
      </w:r>
    </w:p>
    <w:p>
      <w:r>
        <w:t>22. The catchment areas have been determined according to the method previously described, around each point of sale of the Doras group. The market shares of the parties and their competitors have been calculated based on estimated or actual turnover. They are derived from the parties' assessments and, where applicable, from verifications carried out as part of the investigation.</w:t>
      </w:r>
    </w:p>
    <w:p>
      <w:r>
        <w:t xml:space="preserve">23. The operation will not result in any overlap of activity between the parties in the catchment areas defined around: </w:t>
        <w:br/>
        <w:t xml:space="preserve">(i) the 55 points of sale of generalist trading of the Doras group; </w:t>
        <w:br/>
        <w:t>(ii) the three points of sale of specialized tile trading of the Doras group located in Noidans-lès-Vesoul (70), Nevers (58), and Chenôve (21);</w:t>
      </w:r>
    </w:p>
    <w:p>
      <w:r>
        <w:rPr>
          <w:b/>
        </w:rPr>
        <w:t>[Pages 7–7]</w:t>
      </w:r>
    </w:p>
    <w:p>
      <w:r>
        <w:t>(iii) the 4 specialized wood trading outlets of the Doras group located in Montmorot (39), Saint-Dizier (52), Dracy-le-Fort (71), and Monceau-les-Mines (71).</w:t>
      </w:r>
    </w:p>
    <w:p>
      <w:r>
        <w:t>24. The operation will, however, result in an overlap in the wood distribution market in the Bourg-en-Bresse (01) area. In this area, Doras owns a specialized wood trading store under the Cléau brand, and SAMSE controls the general trading agency Bourg Matériaux.</w:t>
      </w:r>
    </w:p>
    <w:p>
      <w:r>
        <w:t>25. Following the operation, the parties will have a combined market share of [60-70]% in Bourg-en-Bresse, with the concentration resulting in an increment of [10-20]% in market shares in an area corresponding to 80% of the sales of the Doras agency. In this area, the new entity will still face competition from four general trading agencies belonging to national networks (two Gedimat agencies, one Bigmat agency, and one Point P agency). Furthermore, it is important to consider the competitive pressure exerted by three Gedimat agencies, two Bigmat agencies, and one Plattard agency located less than 10 kilometers from the edge of the catchment area and less than 35 kilometers from the Doras store. Taking these additional outlets into account, the new entity will hold a market share of [40-50]% following the operation.</w:t>
      </w:r>
    </w:p>
    <w:p>
      <w:r>
        <w:t>26. In light of these elements, the operation is not likely to harm competition in the Bourg-en-Bresse area.</w:t>
      </w:r>
    </w:p>
    <w:p>
      <w:r>
        <w:t>DECIDES</w:t>
      </w:r>
    </w:p>
    <w:p>
      <w:r>
        <w:t>Single Article: The operation notified under number 14-181 is authorized.</w:t>
      </w:r>
    </w:p>
    <w:p>
      <w:r>
        <w:t xml:space="preserve">The President,  </w:t>
        <w:br/>
        <w:t xml:space="preserve">Bruno Lasserre  </w:t>
        <w:br/>
        <w:t xml:space="preserve">© Competition Authority  </w:t>
        <w:br/>
        <w:t>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