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https://www.autoritedelaconcurrence.fr/fr/decision-de-controle-des-concentrations/relative-la-prise-de-controle-exclusif-de-la-societe-scalec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19-DCC-34 of February 27, 2019  </w:t>
        <w:br/>
        <w:t xml:space="preserve">regarding the exclusive control acquisition of the company Scalec by the company  </w:t>
        <w:br/>
        <w:t xml:space="preserve">Coopérative U Enseigne  </w:t>
        <w:br/>
        <w:t xml:space="preserve">The Competition Authority,  </w:t>
        <w:br/>
        <w:t xml:space="preserve">Having regard to the complete notification file sent to the mergers department on January 24, 2019,  </w:t>
        <w:br/>
        <w:t xml:space="preserve">concerning the exclusive control acquisition of the company Scalec by the company Coopérative U Enseigne,  </w:t>
        <w:br/>
        <w:t xml:space="preserve">and formalized by a letter of intent dated January 9,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 </w:t>
        <w:br/>
        <w:t xml:space="preserve">Coopérative U Enseigne of the company Scalec, which operates a retail outlet with a dominant  </w:t>
        <w:br/>
        <w:t xml:space="preserve">food focus of the supermarket type, with an area of 2,000 m² including a gas station, under  </w:t>
        <w:br/>
        <w:t xml:space="preserve">the brand Super U, located in Trèbes (11). It constitutes a concentration operation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control thresholds related to retail trade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19-020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