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https://www.autoritedelaconcurrence.fr/fr/decision-de-controle-des-concentrations/relative-la-prise-de-controle-exclusif-de-la-societe-scotts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17-DCC-87 of June 26, 2017</w:t>
        <w:br/>
        <w:t>regarding the exclusive control acquisition of Scotts-Sierra Investments LLC by Exponent Private Equity LLP</w:t>
        <w:br/>
        <w:t>The Competition Authority,</w:t>
        <w:br/>
        <w:t>Having regard to the complete notification file submitted to the mergers department on June 7, 2017, concerning the exclusive control acquisition of Scotts-Sierra Investments LLC by Exponent Private Equity LLP, formalized by a memorandum of understanding dated April 29, 2017;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exclusive control acquisition by Exponent Private Equity LLP of Scotts-Sierra Investments LLC, which is active in the manufacturing and distribution of maintenance products for lawns and gardens intended for individuals.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17-113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