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https://www.autoritedelaconcurrence.fr/fr/decision-de-controle-des-concentrations/relative-la-prise-de-controle-exclusif-de-la-societe-sdam-0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13-DCC-159 of November 6, 2013  </w:t>
        <w:br/>
        <w:t xml:space="preserve">regarding the exclusive control acquisition of the company SDAM by ITM  </w:t>
        <w:br/>
        <w:t xml:space="preserve">Alimentaire Centre-Ouest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October 10, 2013, concerning the exclusive control acquisition of the company SDAM by the company ITM  </w:t>
        <w:br/>
        <w:t xml:space="preserve">Alimentaire Centre Ouest, formalized by a memorandum of understanding dated March 13, 2012, and  </w:t>
        <w:br/>
        <w:t xml:space="preserve">three amendments, the last of which occurred on December 17, 2012;  </w:t>
        <w:br/>
        <w:t xml:space="preserve">Having regard to Book IV of the Commercial Code relating to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SDAM, operating  </w:t>
        <w:br/>
        <w:t xml:space="preserve">a retail business predominantly in food, under the brand Intermarché, with a surface area of 2,423 m², located in the city of Mont-près-Chambord (41), by the company ITM Alimentaire Centre-Ouest. It constitutes a concentration operation within the meaning of Article L. 430-1 of the Commercial Code. Given the turnover achieved by the companies concerned, the operation does not have a community dimension. On the other hand, the control thresholds related to retail trade mentioned in point II of Article L. 430-2 of the Commercial Code are exceeded. The present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notified operation under number 13-180 is authorized.  </w:t>
        <w:br/>
        <w:t xml:space="preserve">The Vice-President,  </w:t>
        <w:br/>
        <w:t xml:space="preserve">Élisabeth Flüry-Hérard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