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https://www.autoritedelaconcurrence.fr/fr/decision-de-controle-des-concentrations/relative-la-prise-de-controle-exclusif-de-la-societe-sdam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11-DCC-192 of December 8, 2011  </w:t>
        <w:br/>
        <w:t xml:space="preserve">regarding the exclusive control acquisition of the company SDAM by the  </w:t>
        <w:br/>
        <w:t xml:space="preserve">company ITM Alimentaire Centre Ouest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17, 2011, concerning the exclusive control acquisition of the company SDAM by the company  </w:t>
        <w:br/>
        <w:t xml:space="preserve">ITM Alimentaire Centre Ouest;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SDAM, operating  </w:t>
        <w:br/>
        <w:t xml:space="preserve">a predominantly food distribution business, under the Intermarché brand,  </w:t>
        <w:br/>
        <w:t xml:space="preserve">with a surface area of 2,423 m2 and located in the city of Mont Près Chambord (41), by the company  </w:t>
        <w:br/>
        <w:t xml:space="preserve">ITM Alimentaire Centre Ouest.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control thresholds related to retail trade mentioned in point II of Article L. 430-2 of the Commercial Code are exceeded. The present operation is therefore subject to the  </w:t>
        <w:br/>
        <w:t xml:space="preserve">provisions of Articles L. 430-3 and following of the Commercial Code relating to economic concentration.  </w:t>
        <w:br/>
        <w:t xml:space="preserve">2. In view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11-221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