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https://www.autoritedelaconcurrence.fr/fr/decision-de-controle-des-concentrations/relative-la-prise-de-controle-exclusif-de-la-societe-secura</w:t>
      </w:r>
    </w:p>
    <w:p>
      <w:r>
        <w:t>Pages translated : 4</w:t>
      </w:r>
    </w:p>
    <w:p/>
    <w:p>
      <w:r>
        <w:rPr>
          <w:b/>
        </w:rPr>
        <w:t>[Pages 1–3]</w:t>
      </w:r>
    </w:p>
    <w:p>
      <w:r>
        <w:t xml:space="preserve">FRENCH REPUBLIC  </w:t>
        <w:br/>
        <w:t xml:space="preserve">Decision No. 10-DCC-117 of September 14, 2010  </w:t>
        <w:br/>
        <w:t xml:space="preserve">regarding the exclusive control of the company Secura by the  </w:t>
        <w:br/>
        <w:t xml:space="preserve">QBE Insurance group  </w:t>
        <w:br/>
        <w:t xml:space="preserve">The Competition Authority,  </w:t>
        <w:br/>
        <w:t xml:space="preserve">Having regard to the notification file submitted in full to the merger service on August 11, 2010,  </w:t>
        <w:br/>
        <w:t xml:space="preserve">regarding the exclusive control of the company Secura S.A. by the company QBE International  </w:t>
        <w:br/>
        <w:t xml:space="preserve">Holdings, formalized by a share purchase agreement signed on July 3, 2010;  </w:t>
        <w:br/>
        <w:t xml:space="preserve">Having regard to Book IV of the Commercial Code relating to the freedom of prices and competition, and  </w:t>
        <w:br/>
        <w:t xml:space="preserve">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acquirer, the company QBE, is a company under English law, a subsidiary of the Australian group QBE  </w:t>
        <w:br/>
        <w:t xml:space="preserve">Insurance Group Limited (hereinafter "QBE group"). QBE Insurance is listed on the Australian stock exchange,  </w:t>
        <w:br/>
        <w:t xml:space="preserve">whose main shareholders are HSBC Custody Nominees (Australia) Limited (27.95% of the share capital),  </w:t>
        <w:br/>
        <w:t xml:space="preserve">JP Morgan Nominees Australia Limited (17.63% of shares) and National Nominees Limited (13.76% of shares)1.  </w:t>
        <w:br/>
        <w:t xml:space="preserve">The QBE group, active in the insurance and reinsurance sector in 47 countries, is organized into geographic divisions  </w:t>
        <w:br/>
        <w:t xml:space="preserve">(Europe, Australia, Asia-Pacific, and America). QBE is the holding company of the Europe division. It offers insurance products  </w:t>
        <w:br/>
        <w:t xml:space="preserve">to professionals covering the following risks: property damage insurance for businesses, civil liability,  </w:t>
        <w:br/>
        <w:t xml:space="preserve">construction, aviation and maritime transport, automobile, surety. It is also active in the reinsurance sector through  </w:t>
        <w:br/>
        <w:t xml:space="preserve">the company QBE Reinsurance Limited and the syndicate QBE Reinsurance Syndicate 566.  </w:t>
        <w:br/>
        <w:t xml:space="preserve">1 There is no shareholders' agreement among the partners of QBE Insurance. The shareholding of QBE Insurance consists of nearly 100,000  </w:t>
        <w:br/>
        <w:t xml:space="preserve">shareholders sharing more than one billion shares, it being specified that these shares are all ordinary shares conferring no  </w:t>
        <w:br/>
        <w:t>special rights such as, for example, double voting rights.</w:t>
      </w:r>
    </w:p>
    <w:p>
      <w:r>
        <w:t xml:space="preserve">2. The total turnover excluding taxes achieved by the QBE group in 2009, the last closed financial year, amounts to 2.88 billion euros, of which [...] million euros were achieved in France.  </w:t>
        <w:br/>
        <w:t xml:space="preserve">3. Secura is a Belgian law company, a subsidiary of the KBC group. It is active in the reinsurance sector in Europe and, to a lesser extent, in the United States and Canada.  </w:t>
        <w:br/>
        <w:t xml:space="preserve">4. The total turnover excluding taxes achieved by Secura in 2009, the last closed financial year, amounts to 217.9 million euros, of which [...] million euros were achieved in France.  </w:t>
        <w:br/>
        <w:t xml:space="preserve">5. The operation consists of the acquisition by the company QBE of 100% of the capital of Secura from the company KBC Assurances. Indeed, beforehand and for the purposes of the operation, the company KBC Assurances, which held 95.04% of the capital of Secura, repurchased the remaining 4.96% belonging to the company Dexia Insurance Belgium.  </w:t>
        <w:br/>
        <w:t xml:space="preserve">6. Insofar as it results in the exclusive control of the QBE group over Secura, the notified operation constitutes a concentration within the meaning of Article L. 430-1 of the Commercial Code. Given the turnover of the concerned companies, this operation does not have a community dimension. On the other hand, the thresholds mentioned in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7. The parties are simultaneously present in the reinsurance sector. Furthermore, QBE is active downstream in insurance2.  </w:t>
        <w:br/>
        <w:t xml:space="preserve">A. THE REINSURANCE MARKETS  </w:t>
        <w:br/>
        <w:t xml:space="preserve">8. The decision-making practice, both community and national3, distinguishes within insurance activities between the reinsurance and insurance markets, due to the specific nature of the reinsurance activity which consists, for the reinsurer, in taking on all or part of the risks insured by the primary insurer, which allows primary insurers to increase the number of insured and to spread risks over time and across a wider geographical area. Furthermore, the regulatory constraints on reinsurance activity are less significant than in insurance.  </w:t>
        <w:br/>
        <w:t xml:space="preserve">9. Moreover, national and community competition authorities have considered a segmentation of the reinsurance sector between life reinsurance and property reinsurance. Finally, within each of these segments, it was considered to perform an additional segmentation based on the categories of risks covered4.  </w:t>
        <w:br/>
        <w:t xml:space="preserve">10. If these different segmentations are retained, the parties are simultaneously present in the following segments of the reinsurance market:  </w:t>
        <w:br/>
        <w:t xml:space="preserve">- in terms of life reinsurance, in the segment of life accident coverage  </w:t>
        <w:br/>
        <w:t xml:space="preserve">- in terms of property reinsurance, in the following eight segments: 1) professional property, 2) automobile, 3) civil liability, 4) construction, 5) credit, 6) work accidents, 7) aviation, 8) maritime transport.  </w:t>
        <w:br/>
        <w:t xml:space="preserve">11. In this case, the competitive analysis will be conducted both on a global reinsurance market and on its different segments. The question of the exact delimitation of the reinsurance market may, however, remain open, as the conclusions of the competitive analysis remain unchanged regardless of the definition retained.  </w:t>
        <w:br/>
        <w:t xml:space="preserve">B. THE INSURANCE MARKETS  </w:t>
        <w:br/>
        <w:t xml:space="preserve">12. Just as in reinsurance, national and community decision-making practice distinguishes property insurance from life insurance, and within each of these categories, segments based on the nature of the risks covered. Furthermore, decision-making practice has differentiated insurance intended for professionals from that intended for individuals5.  </w:t>
        <w:br/>
        <w:t xml:space="preserve">13. In this case, the QBE group is only active in property insurance intended for professionals, in the following segments: 1) automobile, 2) professional property, 3) credit, 4) maritime transport, 5) aviation and aerospace.  </w:t>
        <w:br/>
        <w:t xml:space="preserve">14. The competitive analysis will be conducted both on a global insurance product market and on its different segments. In any case, in the absence of competitive issues, it is not necessary to definitively resolve the question of the exact delimitation of the insurance markets.  </w:t>
        <w:br/>
        <w:t xml:space="preserve">C. GEOGRAPHICAL DELIMITATION OF MARKETS  </w:t>
        <w:br/>
        <w:t xml:space="preserve">15. It follows from national and community decision-making practice that the reinsurance market is of a global dimension, particularly given the distribution of risks at this level.  </w:t>
        <w:br/>
        <w:t xml:space="preserve">16. Regarding insurance product markets, with the exception of the aerospace/aeronautics segment which covers large-scale risks and thus has, according to the Commission, a European dimension6, they are commonly analyzed at the national level, notably due to the existence of national legislation and regulatory systems.  </w:t>
        <w:br/>
        <w:t xml:space="preserve">4 See in particular decision No. COMP/M.4047 - Aviva/Ark Life cited above.  </w:t>
        <w:br/>
        <w:t xml:space="preserve">5 See cited decisions.  </w:t>
        <w:br/>
        <w:t>6 See in particular decision COMP/M.5010 Berkshire Hathaway/Munich Re/Gaum of July 14, 2008.</w:t>
      </w:r>
    </w:p>
    <w:p>
      <w:r>
        <w:rPr>
          <w:b/>
        </w:rPr>
        <w:t>[Pages 4–4]</w:t>
      </w:r>
    </w:p>
    <w:p>
      <w:r>
        <w:t xml:space="preserve">17. The Commission, in its decision COMP/M.3035 mentioned above, considered that the market for services to insurers and reinsurers had at least a European dimension (European Economic Area).  </w:t>
        <w:br/>
        <w:t xml:space="preserve">18. There is no need to call into question these different delimitations during the examination of the present case.  </w:t>
        <w:br/>
        <w:t xml:space="preserve">III. Competitive Analysis  </w:t>
        <w:br/>
        <w:t xml:space="preserve">19. Both in a global reinsurance market and in its different segments, the market share of the new entity will remain below [0-5] %.  </w:t>
        <w:br/>
        <w:t xml:space="preserve">20. Regarding the markets for fleet automobile insurance, professional property insurance, credit operations insurance, and maritime insurance, the market shares of the QBE group in France do not exceed [0-5] %. Its market share in the EEA market for aviation and aerospace insurance is, on the other hand, below [5-10] %.  </w:t>
        <w:br/>
        <w:t xml:space="preserve">21. The operation is therefore not likely to harm competition in any of these markets, whether due to the accumulation of the parties' positions or due to their simultaneous presence in upstream and downstream markets relative to each other.  </w:t>
        <w:br/>
        <w:t xml:space="preserve">DECIDES  </w:t>
        <w:br/>
        <w:t xml:space="preserve">Sole Article: The operation notified under number 10-0119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