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https://www.autoritedelaconcurrence.fr/fr/decision-de-controle-des-concentrations/relative-la-prise-de-controle-exclusif-de-la-societe-sepur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12-DCC-39 of March 21, 2012  </w:t>
        <w:br/>
        <w:t xml:space="preserve">regarding the exclusive control acquisition of the company Sepur SAS by the  </w:t>
        <w:br/>
        <w:t xml:space="preserve">company Fondations Capital Management  </w:t>
        <w:br/>
        <w:t xml:space="preserve">The Competition Authority,  </w:t>
        <w:br/>
        <w:t xml:space="preserve">Having regard to the complete notification file submitted to the mergers department on March 1, 2012,  </w:t>
        <w:br/>
        <w:t xml:space="preserve">concerning the exclusive control acquisition of the company Sepur SAS, and its subsidiaries, Sepur Réunion  </w:t>
        <w:br/>
        <w:t xml:space="preserve">and Axene, by the company Fondations Capital Management SA via the investment fund  </w:t>
        <w:br/>
        <w:t xml:space="preserve">Fondation Capital I SCA SICAR;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Sepur SAS, active  </w:t>
        <w:br/>
        <w:t xml:space="preserve">through its subsidiaries, the companies Sepur Réunion and Axene, in the sectors of waste collection,  </w:t>
        <w:br/>
        <w:t xml:space="preserve">treatment, recovery and recycling, green composting, and urban cleaning, by the Fondations Capital group,  </w:t>
        <w:br/>
        <w:t xml:space="preserve">which controls companies active in the construction materials and commercial restoration sectors. It constitutes a  </w:t>
        <w:br/>
        <w:t xml:space="preserve">concentration operation within the meaning of Article L. 430-1 of the Commercial Code. Given the  </w:t>
        <w:br/>
        <w:t xml:space="preserve">turnover achieved by the companies concerned, the operation does not have a community dimension. On the other  </w:t>
        <w:br/>
        <w:t xml:space="preserve">hand, the control thresholds mentioned in point I of Article L. 430-2 of the Commercial Code are exceeded.  </w:t>
        <w:br/>
        <w:t xml:space="preserve">The present operation is therefore subject to the provisions of Articles L. 430-3 and following of the  </w:t>
        <w:br/>
        <w:t xml:space="preserve">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12-036 is authorized.  </w:t>
        <w:br/>
        <w:t xml:space="preserve">The Vice-President,  </w:t>
        <w:br/>
        <w:t xml:space="preserve">Françoise Aubert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