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https://www.autoritedelaconcurrence.fr/fr/decision-de-controle-des-concentrations/relative-la-prise-de-controle-exclusif-de-la-societe-setal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19-DCC-13 of February 4, 2019  </w:t>
        <w:br/>
        <w:t xml:space="preserve">regarding the exclusive control acquisition of the company SETAL SAS by the  </w:t>
        <w:br/>
        <w:t xml:space="preserve">Enterprise Consolidation and Development Fund II  </w:t>
        <w:br/>
        <w:t xml:space="preserve">The Competition Authority,  </w:t>
        <w:br/>
        <w:t xml:space="preserve">Having regard to the complete notification file sent to the mergers department on January 8, 2019,  </w:t>
        <w:br/>
        <w:t xml:space="preserve">concerning the exclusive control acquisition of the company SETAL SAS by the Enterprise Consolidation  </w:t>
        <w:br/>
        <w:t xml:space="preserve">and Development Fund II, and formalized by an investment protocol dated December 18,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Enterprise Consolidation and  </w:t>
        <w:br/>
        <w:t xml:space="preserve">Development Fund II of the company SETAL SAS, which is primarily active in the execution of new works and  </w:t>
        <w:br/>
        <w:t xml:space="preserve">industrial maintenance for the naval and aeronautical industry. It constitutes a concentration operation within  </w:t>
        <w:br/>
        <w:t xml:space="preserve">the meaning of Article L. 430-1 of the Commercial Code. Given the turnover achieved by the companies  </w:t>
        <w:br/>
        <w:t xml:space="preserve">concerned, the operation does not fall under the jurisdiction of the European Union. However, the control  </w:t>
        <w:br/>
        <w:t xml:space="preserve">thresholds mentioned in point I of Article L. 430-2 of the Commercial Code are exceeded. This operation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18-299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