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https://www.autoritedelaconcurrence.fr/fr/decision-de-controle-des-concentrations/relative-la-prise-de-controle-exclusif-de-la-societe-seyane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15-DCC-44 of April 22, 2015  </w:t>
        <w:br/>
        <w:t xml:space="preserve">regarding the exclusive control acquisition of the company Seyane  </w:t>
        <w:br/>
        <w:t xml:space="preserve">by ITM Alimentaire région parisienne  </w:t>
        <w:br/>
        <w:t xml:space="preserve">The Competition Authority,  </w:t>
        <w:br/>
        <w:t xml:space="preserve">Having regard to the complete notification file submitted to the mergers department on March 27, 2015,  </w:t>
        <w:br/>
        <w:t xml:space="preserve">concerning the exclusive control acquisition of the company Seyane by the company ITM Alimentaire  </w:t>
        <w:br/>
        <w:t xml:space="preserve">région parisienne, materialized by the exercise of an option from a unilateral purchase promise dated November 4,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Seyane, operating  </w:t>
        <w:br/>
        <w:t xml:space="preserve">a food-dominant retail outlet under the Intermarché brand in the city of  </w:t>
        <w:br/>
        <w:t xml:space="preserve">Croissy-Beaubourg (77) by the company ITM Alimentaire région parisienne, a subsidiary of ITM  </w:t>
        <w:br/>
        <w:t xml:space="preserve">Entreprises. It constitutes a concentration operation within the meaning of Article L. 430-1 of  </w:t>
        <w:br/>
        <w:t xml:space="preserve">the Commercial Code.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related to retail trade mentioned in point II of Article L. 430-2 of the Commercial Code are exceeded.  </w:t>
        <w:br/>
        <w:t xml:space="preserve">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notified operation under number 15-041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