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https://www.autoritedelaconcurrence.fr/fr/decision-de-controle-des-concentrations/relative-la-prise-de-controle-exclusif-de-la-societe-sgs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26-DCC-108 of April 29, 2026  </w:t>
        <w:br/>
        <w:t xml:space="preserve">regarding the exclusive control acquisition of the company SGS Industries  </w:t>
        <w:br/>
        <w:t xml:space="preserve">by the company SPIE Germany Switzerland Austria  </w:t>
        <w:br/>
        <w:t xml:space="preserve">The Competition Authority,  </w:t>
        <w:br/>
        <w:t xml:space="preserve">Having regard to the complete notification file sent to the mergers department on April 13, 2026,  </w:t>
        <w:br/>
        <w:t xml:space="preserve">concerning the exclusive control acquisition of the company SGS Industries GmbH by the company SPIE  </w:t>
        <w:br/>
        <w:t xml:space="preserve">Germany Switzerland Austria GmbH, formalized by the signing of a share purchase agreement  </w:t>
        <w:br/>
        <w:t xml:space="preserve">on March 25, 2026;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acquisition, by the company SPIE Germany Switzerland Austria,  </w:t>
        <w:br/>
        <w:t xml:space="preserve">through its Austrian subsidiary, Eff hundertzwanzigdrei Beteiligungsverwaltung,  </w:t>
        <w:br/>
        <w:t xml:space="preserve">of the entire capital of the company SGS Industries. The sector concerned by this concentration  </w:t>
        <w:br/>
        <w:t xml:space="preserve">is that of industrial services, notably electrical engineering and mechanical engineering for  </w:t>
        <w:br/>
        <w:t xml:space="preserve">industrial clients. The operation constitutes a concentration within the meaning of Article L. 430-1 of the Commercial Code.  </w:t>
        <w:br/>
        <w:t xml:space="preserve">Given the turnover achieved by the concerned companies,  </w:t>
        <w:br/>
        <w:t xml:space="preserve">the operation does not fall under the jurisdiction of the European Union. On the other hand, the thresholds for  </w:t>
        <w:br/>
        <w:t xml:space="preserve">control mentioned in I of Article L. 430-2 of the Commercial Code are exceeded. The present  </w:t>
        <w:br/>
        <w:t xml:space="preserve">operation is therefore subject to the provisions of Articles L. 430-3 and following of the Commercial Code  </w:t>
        <w:br/>
        <w:t xml:space="preserve">relating to economic concentration.  </w:t>
        <w:br/>
        <w:t xml:space="preserve">2. In light of the elements of the file, the operation is not likely to harm competition  </w:t>
        <w:br/>
        <w:t>in the concerned markets.</w:t>
      </w:r>
    </w:p>
    <w:p>
      <w:r>
        <w:t xml:space="preserve">DECIDES  </w:t>
        <w:br/>
        <w:t xml:space="preserve">Sole Article: The operation notified under number 26-097 is authorized.  </w:t>
        <w:br/>
        <w:t xml:space="preserve">The Vice-President,  </w:t>
        <w:br/>
        <w:t xml:space="preserve">Vivien Terrien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