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https://www.autoritedelaconcurrence.fr/fr/decision-de-controle-des-concentrations/relative-la-prise-de-controle-exclusif-de-la-societe-si2m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11-DCC-129 of September 1, 2011  </w:t>
        <w:br/>
        <w:t xml:space="preserve">regarding the exclusive control acquisition of the company SI2M by the company  </w:t>
        <w:br/>
        <w:t xml:space="preserve">Franprix Leader Price Holding  </w:t>
        <w:br/>
        <w:t xml:space="preserve">The Competition Authority,  </w:t>
        <w:br/>
        <w:t xml:space="preserve">Having regard to the notification file sent to the mergers department on June 23, 2011, and declared  </w:t>
        <w:br/>
        <w:t xml:space="preserve">complete on July 28, 2011, concerning the exclusive control acquisition by the company Franprix Leader  </w:t>
        <w:br/>
        <w:t xml:space="preserve">Price Holding of the company SI2M, formalized by a letter of intent dated April 15, 2011;  </w:t>
        <w:br/>
        <w:t xml:space="preserve">Having regard to Book IV of the Commercial Code relating to the freedom of prices and competition, and  </w:t>
        <w:br/>
        <w:t xml:space="preserve">notably its Articles L. 430-1 to L. 430-10;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company SI2M is active in the retail sector predominantly focused on food and  </w:t>
        <w:br/>
        <w:t xml:space="preserve">operates in the Paris region supermarkets and convenience stores under the Casino group brands. It is jointly controlled by a natural person and by the Casino group which holds 49% of the company's capital.  </w:t>
        <w:br/>
        <w:t xml:space="preserve">2. The notified operation consists of the exclusive control acquisition of the company SI2M by the Casino group, and constitutes a concentration operation within the meaning of Article L. 430-1 of the Commercial Code. Given the turnover generated by the concerned companies, the operation does not have a community dimension. On the other hand, the control thresholds related to concentration operations mentioned in point II of Article L. 430-2 of the Commercial Code are exceeded. This operation is therefore subject to the provisions of Articles L. 430-3 and following of the Commercial Code relating to economic concentration.  </w:t>
        <w:br/>
        <w:t>3.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11-0117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