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https://www.autoritedelaconcurrence.fr/fr/decision-de-controle-des-concentrations/relative-la-prise-de-controle-exclusif-de-la-societe-simeda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11-DCC-188 of December 14, 2011  </w:t>
        <w:br/>
        <w:t xml:space="preserve">regarding the exclusive control acquisition of the company Simeda  </w:t>
        <w:br/>
        <w:t xml:space="preserve">by the company But International  </w:t>
        <w:br/>
        <w:t xml:space="preserve">The Competition Authority,  </w:t>
        <w:br/>
        <w:t xml:space="preserve">Having regard to the complete notification file submitted to the mergers department on  </w:t>
        <w:br/>
        <w:t xml:space="preserve">November 21, 2011, concerning the exclusive control acquisition of the company Simeda by the company  </w:t>
        <w:br/>
        <w:t xml:space="preserve">But International, materialized by share transfer agreements dated July 28, 2011;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exclusive control acquisition by the company But International,  </w:t>
        <w:br/>
        <w:t xml:space="preserve">active in the retail trade of household appliances, furniture products, and bazaar and decoration products, of the company Simeda, active in the same sector through  </w:t>
        <w:br/>
        <w:t xml:space="preserve">three stores under the But brand located respectively in Sainte-Geneviève-des-Bois (91), La  </w:t>
        <w:br/>
        <w:t xml:space="preserve">Queue-en-Brie (95), and Aulnay-sous-Bois (93). This operation constitutes a concentration operation within the meaning of Article L. 430-1 of the Commercial Code. Given the turnover achieved by the companies concerned, the operation does not have a community dimension. On the other hand, the retail control thresholds mentioned  </w:t>
        <w:br/>
        <w:t xml:space="preserve">in point II of Article L. 430-2 of the Commercial Code are exceeded. This operation is therefore subject to the provisions of Articles L. 430-3 and following of the Commercial Code relating  </w:t>
        <w:br/>
        <w:t xml:space="preserve">to economic concentration.  </w:t>
        <w:br/>
        <w:t>2. In light of the elements of the file, the operation is not likely to harm competition in the relevant markets.</w:t>
      </w:r>
    </w:p>
    <w:p>
      <w:r>
        <w:t xml:space="preserve">DECIDES  </w:t>
        <w:br/>
        <w:t xml:space="preserve">Sole Article: The operation notified under number 11-0224 is authorized.  </w:t>
        <w:br/>
        <w:t xml:space="preserve">The President,  </w:t>
        <w:br/>
        <w:t xml:space="preserve">Bruno Lasserre  </w:t>
        <w:br/>
        <w:t>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