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https://www.autoritedelaconcurrence.fr/fr/decision-de-controle-des-concentrations/relative-la-prise-de-controle-exclusif-de-la-societe-sinpol</w:t>
      </w:r>
    </w:p>
    <w:p>
      <w:r>
        <w:t>Pages translated : 2</w:t>
      </w:r>
    </w:p>
    <w:p/>
    <w:p>
      <w:r>
        <w:rPr>
          <w:b/>
        </w:rPr>
        <w:t>[Pages 1–2]</w:t>
      </w:r>
    </w:p>
    <w:p>
      <w:r>
        <w:t xml:space="preserve">FRENCH REPUBLIC  </w:t>
        <w:br/>
        <w:t xml:space="preserve">Decision No. 14-DCC-116 of August 8, 2014  </w:t>
        <w:br/>
        <w:t xml:space="preserve">regarding the exclusive control acquisition of the company Sinpol by the company  </w:t>
        <w:br/>
        <w:t xml:space="preserve">ITM Alimentaire Sud-Ouest  </w:t>
        <w:br/>
        <w:t xml:space="preserve">The Competition Authority,  </w:t>
        <w:br/>
        <w:t xml:space="preserve">Having regard to the complete notification file sent to the mergers department on July 23, 2014,  </w:t>
        <w:br/>
        <w:t xml:space="preserve">concerning the exclusive control acquisition of the company Sinpol by the company ITM Alimentaire Sud-Ouest and formalized by a letter of intent dated July 18, 2014, accepted on the same day by the Ormancey parties;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Ardits, which operates a food-dominant distribution business under the Intermarché brand in the city of Montgiscard (31), by the company ITM Alimentaire Sud-Ouest. This operation constitutes a concentration within the meaning of Article L. 430-1 of the Commercial Code. Given the turnover achieved by the concerned companies,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14-132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